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C73D8A"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68653758"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Pr="00645AE8">
        <w:rPr>
          <w:rFonts w:ascii="Bookman Old Style" w:hAnsi="Bookman Old Style"/>
          <w:szCs w:val="28"/>
        </w:rPr>
        <w:fldChar w:fldCharType="begin"/>
      </w:r>
      <w:r w:rsidRPr="00645AE8">
        <w:rPr>
          <w:rFonts w:ascii="Bookman Old Style" w:hAnsi="Bookman Old Style"/>
          <w:szCs w:val="28"/>
        </w:rPr>
        <w:instrText xml:space="preserve"> MERGEFIELD  NumeroResolucion  \* MERGEFORMAT </w:instrText>
      </w:r>
      <w:r w:rsidRPr="00645AE8">
        <w:rPr>
          <w:rFonts w:ascii="Bookman Old Style" w:hAnsi="Bookman Old Style"/>
          <w:szCs w:val="28"/>
        </w:rPr>
        <w:fldChar w:fldCharType="separate"/>
      </w:r>
      <w:r w:rsidRPr="00645AE8">
        <w:rPr>
          <w:rFonts w:ascii="Bookman Old Style" w:hAnsi="Bookman Old Style"/>
          <w:szCs w:val="28"/>
        </w:rPr>
        <w:t>101 034</w:t>
      </w:r>
      <w:r w:rsidRPr="00645AE8">
        <w:rPr>
          <w:rFonts w:ascii="Bookman Old Style" w:hAnsi="Bookman Old Style"/>
          <w:szCs w:val="28"/>
        </w:rPr>
        <w:fldChar w:fldCharType="end"/>
      </w:r>
      <w:r w:rsidRPr="00645AE8">
        <w:rPr>
          <w:rFonts w:ascii="Bookman Old Style" w:hAnsi="Bookman Old Style"/>
          <w:szCs w:val="28"/>
        </w:rPr>
        <w:t xml:space="preserve"> DE </w:t>
      </w:r>
      <w:r w:rsidRPr="00645AE8">
        <w:rPr>
          <w:rFonts w:ascii="Bookman Old Style" w:hAnsi="Bookman Old Style"/>
          <w:szCs w:val="28"/>
        </w:rPr>
        <w:fldChar w:fldCharType="begin"/>
      </w:r>
      <w:r w:rsidRPr="00645AE8">
        <w:rPr>
          <w:rFonts w:ascii="Bookman Old Style" w:hAnsi="Bookman Old Style"/>
          <w:szCs w:val="28"/>
        </w:rPr>
        <w:instrText xml:space="preserve"> MERGEFIELD  Anio  \* MERGEFORMAT </w:instrText>
      </w:r>
      <w:r w:rsidRPr="00645AE8">
        <w:rPr>
          <w:rFonts w:ascii="Bookman Old Style" w:hAnsi="Bookman Old Style"/>
          <w:szCs w:val="28"/>
        </w:rPr>
        <w:fldChar w:fldCharType="separate"/>
      </w:r>
      <w:r w:rsidRPr="00645AE8">
        <w:rPr>
          <w:rFonts w:ascii="Bookman Old Style" w:hAnsi="Bookman Old Style"/>
          <w:noProof/>
          <w:szCs w:val="28"/>
        </w:rPr>
        <w:t>2024</w:t>
      </w:r>
      <w:r w:rsidRPr="00645AE8">
        <w:rPr>
          <w:rFonts w:ascii="Bookman Old Style" w:hAnsi="Bookman Old Style"/>
          <w:szCs w:val="28"/>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1CDB15F3" w:rsidR="00CA77FB" w:rsidRPr="00645AE8" w:rsidRDefault="00CA77FB" w:rsidP="00012259">
      <w:pPr>
        <w:pStyle w:val="Ttulo3"/>
        <w:tabs>
          <w:tab w:val="left" w:pos="0"/>
          <w:tab w:val="right" w:pos="9356"/>
        </w:tabs>
        <w:ind w:left="0"/>
        <w:rPr>
          <w:rFonts w:ascii="Bookman Old Style" w:hAnsi="Bookman Old Style"/>
          <w:bCs/>
          <w:szCs w:val="24"/>
        </w:rPr>
      </w:pPr>
      <w:r w:rsidRPr="00645AE8">
        <w:rPr>
          <w:rFonts w:ascii="Bookman Old Style" w:hAnsi="Bookman Old Style"/>
          <w:bCs/>
          <w:szCs w:val="24"/>
        </w:rPr>
        <w:t>(</w:t>
      </w:r>
      <w:r w:rsidR="00645AE8" w:rsidRPr="00645AE8">
        <w:rPr>
          <w:rFonts w:ascii="Bookman Old Style" w:hAnsi="Bookman Old Style"/>
          <w:bCs/>
          <w:szCs w:val="24"/>
        </w:rPr>
        <w:t>30 ENE. 2024</w:t>
      </w:r>
      <w:r w:rsidRPr="00645AE8">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E060BE" w:rsidRDefault="00B351B4" w:rsidP="00012259">
      <w:pPr>
        <w:ind w:left="0"/>
        <w:rPr>
          <w:rFonts w:ascii="Bookman Old Style" w:hAnsi="Bookman Old Style"/>
          <w:bCs/>
          <w:lang w:val="es-CO"/>
        </w:rPr>
      </w:pPr>
    </w:p>
    <w:p w14:paraId="3E32351F" w14:textId="0ED987C8" w:rsidR="0075272E" w:rsidRPr="00902AFC" w:rsidRDefault="0075272E" w:rsidP="00C87E56">
      <w:pPr>
        <w:ind w:left="0"/>
        <w:jc w:val="center"/>
        <w:rPr>
          <w:rFonts w:ascii="Bookman Old Style" w:hAnsi="Bookman Old Style" w:cs="Arial"/>
          <w:color w:val="000000"/>
        </w:rPr>
      </w:pPr>
      <w:bookmarkStart w:id="0" w:name="_Hlk156898797"/>
      <w:r w:rsidRPr="00E30F97">
        <w:rPr>
          <w:rFonts w:ascii="Bookman Old Style" w:hAnsi="Bookman Old Style" w:cs="Arial"/>
          <w:color w:val="000000"/>
        </w:rPr>
        <w:t xml:space="preserve">Por la cual se </w:t>
      </w:r>
      <w:r>
        <w:rPr>
          <w:rFonts w:ascii="Bookman Old Style" w:hAnsi="Bookman Old Style" w:cs="Arial"/>
          <w:color w:val="000000"/>
        </w:rPr>
        <w:t xml:space="preserve">establecen </w:t>
      </w:r>
      <w:bookmarkStart w:id="1" w:name="_Hlk153978850"/>
      <w:r>
        <w:rPr>
          <w:rFonts w:ascii="Bookman Old Style" w:hAnsi="Bookman Old Style" w:cs="Arial"/>
          <w:color w:val="000000"/>
        </w:rPr>
        <w:t xml:space="preserve">disposiciones temporales para la entrega de excedentes de generación de energía al </w:t>
      </w:r>
      <w:r w:rsidR="00C87E56">
        <w:rPr>
          <w:rFonts w:ascii="Bookman Old Style" w:hAnsi="Bookman Old Style" w:cs="Arial"/>
          <w:color w:val="000000"/>
        </w:rPr>
        <w:t xml:space="preserve">Sistema Interconectado Nacional, </w:t>
      </w:r>
      <w:r>
        <w:rPr>
          <w:rFonts w:ascii="Bookman Old Style" w:hAnsi="Bookman Old Style" w:cs="Arial"/>
          <w:color w:val="000000"/>
        </w:rPr>
        <w:t xml:space="preserve">SIN </w:t>
      </w:r>
      <w:bookmarkEnd w:id="1"/>
    </w:p>
    <w:bookmarkEnd w:id="0"/>
    <w:p w14:paraId="272CC3D9" w14:textId="77777777" w:rsidR="0075272E" w:rsidRPr="0020003F" w:rsidRDefault="0075272E" w:rsidP="0075272E">
      <w:pPr>
        <w:jc w:val="center"/>
        <w:rPr>
          <w:rFonts w:ascii="Bookman Old Style" w:hAnsi="Bookman Old Style" w:cs="Arial"/>
          <w:b/>
          <w:color w:val="000000"/>
          <w:sz w:val="20"/>
          <w:szCs w:val="20"/>
        </w:rPr>
      </w:pPr>
    </w:p>
    <w:p w14:paraId="7B6230A6" w14:textId="77777777" w:rsidR="0075272E" w:rsidRPr="00717AFB" w:rsidRDefault="0075272E" w:rsidP="0075272E">
      <w:pPr>
        <w:jc w:val="center"/>
        <w:rPr>
          <w:rFonts w:ascii="Bookman Old Style" w:hAnsi="Bookman Old Style" w:cs="Arial"/>
          <w:color w:val="000000"/>
        </w:rPr>
      </w:pPr>
    </w:p>
    <w:p w14:paraId="00F141D3" w14:textId="77777777" w:rsidR="0075272E" w:rsidRPr="00717AFB" w:rsidRDefault="0075272E" w:rsidP="0075272E">
      <w:pPr>
        <w:jc w:val="center"/>
        <w:rPr>
          <w:rFonts w:ascii="Bookman Old Style" w:hAnsi="Bookman Old Style" w:cs="Arial"/>
          <w:color w:val="000000" w:themeColor="text1"/>
          <w:lang w:eastAsia="es-CO"/>
        </w:rPr>
      </w:pPr>
      <w:r w:rsidRPr="00717AFB">
        <w:rPr>
          <w:rFonts w:ascii="Bookman Old Style" w:hAnsi="Bookman Old Style" w:cs="Arial"/>
          <w:b/>
          <w:color w:val="000000" w:themeColor="text1"/>
          <w:lang w:eastAsia="es-CO"/>
        </w:rPr>
        <w:t>LA COMISIÓN DE REGULACIÓN DE ENERGÍA Y GAS</w:t>
      </w:r>
    </w:p>
    <w:p w14:paraId="4276F652" w14:textId="77777777" w:rsidR="0075272E" w:rsidRDefault="0075272E" w:rsidP="0075272E">
      <w:pPr>
        <w:jc w:val="center"/>
        <w:rPr>
          <w:rFonts w:ascii="Bookman Old Style" w:hAnsi="Bookman Old Style" w:cs="Arial"/>
          <w:color w:val="000000"/>
        </w:rPr>
      </w:pPr>
    </w:p>
    <w:p w14:paraId="68D48A3E" w14:textId="77777777" w:rsidR="0075272E" w:rsidRPr="00717AFB" w:rsidRDefault="0075272E" w:rsidP="0075272E">
      <w:pPr>
        <w:jc w:val="center"/>
        <w:rPr>
          <w:rFonts w:ascii="Bookman Old Style" w:hAnsi="Bookman Old Style" w:cs="Arial"/>
          <w:color w:val="000000"/>
        </w:rPr>
      </w:pPr>
    </w:p>
    <w:p w14:paraId="3CC86BC1" w14:textId="77777777" w:rsidR="0075272E" w:rsidRPr="00717AFB" w:rsidRDefault="0075272E" w:rsidP="0075272E">
      <w:pPr>
        <w:jc w:val="center"/>
        <w:rPr>
          <w:rFonts w:ascii="Bookman Old Style" w:hAnsi="Bookman Old Style" w:cs="Arial"/>
          <w:color w:val="000000"/>
        </w:rPr>
      </w:pPr>
      <w:r w:rsidRPr="00060697">
        <w:rPr>
          <w:rFonts w:ascii="Bookman Old Style" w:hAnsi="Bookman Old Style" w:cs="Arial"/>
          <w:color w:val="000000"/>
        </w:rPr>
        <w:t xml:space="preserve">En ejercicio de sus atribuciones constitucionales y legales, en especial las conferidas por las Leyes 142 y 143 de 1994, y en desarrollo de los Decretos 1524 y 2253 de 1994, y </w:t>
      </w:r>
      <w:r>
        <w:rPr>
          <w:rFonts w:ascii="Bookman Old Style" w:hAnsi="Bookman Old Style" w:cs="Arial"/>
          <w:color w:val="000000"/>
        </w:rPr>
        <w:t xml:space="preserve">el </w:t>
      </w:r>
      <w:r w:rsidRPr="00060697">
        <w:rPr>
          <w:rFonts w:ascii="Bookman Old Style" w:hAnsi="Bookman Old Style" w:cs="Arial"/>
          <w:color w:val="000000"/>
        </w:rPr>
        <w:t>Decreto 1260 de 2013</w:t>
      </w:r>
    </w:p>
    <w:p w14:paraId="6FDA8EEC" w14:textId="77777777" w:rsidR="0075272E" w:rsidRDefault="0075272E" w:rsidP="0075272E">
      <w:pPr>
        <w:jc w:val="center"/>
        <w:rPr>
          <w:rFonts w:ascii="Bookman Old Style" w:hAnsi="Bookman Old Style" w:cs="Arial"/>
          <w:color w:val="000000"/>
        </w:rPr>
      </w:pPr>
    </w:p>
    <w:p w14:paraId="45769899" w14:textId="77777777" w:rsidR="0075272E" w:rsidRPr="00717AFB" w:rsidRDefault="0075272E" w:rsidP="00645AE8">
      <w:pPr>
        <w:ind w:left="0"/>
        <w:rPr>
          <w:rFonts w:ascii="Bookman Old Style" w:hAnsi="Bookman Old Style" w:cs="Arial"/>
          <w:color w:val="000000"/>
        </w:rPr>
      </w:pPr>
    </w:p>
    <w:p w14:paraId="71C8F8C0" w14:textId="77777777" w:rsidR="0075272E" w:rsidRPr="00084AA6" w:rsidRDefault="0075272E" w:rsidP="0075272E">
      <w:pPr>
        <w:jc w:val="center"/>
        <w:rPr>
          <w:rFonts w:ascii="Bookman Old Style" w:hAnsi="Bookman Old Style" w:cs="Arial"/>
          <w:b/>
          <w:color w:val="000000"/>
          <w:lang w:val="pt-BR"/>
        </w:rPr>
      </w:pPr>
      <w:r w:rsidRPr="00084AA6">
        <w:rPr>
          <w:rFonts w:ascii="Bookman Old Style" w:hAnsi="Bookman Old Style" w:cs="Arial"/>
          <w:b/>
          <w:color w:val="000000"/>
          <w:lang w:val="pt-BR"/>
        </w:rPr>
        <w:t>C O N S I D E R A N D O   Q U E:</w:t>
      </w:r>
    </w:p>
    <w:p w14:paraId="68510479" w14:textId="77777777" w:rsidR="0075272E" w:rsidRPr="00084AA6" w:rsidRDefault="0075272E" w:rsidP="00645AE8">
      <w:pPr>
        <w:ind w:left="0"/>
        <w:rPr>
          <w:rFonts w:ascii="Bookman Old Style" w:hAnsi="Bookman Old Style" w:cs="Arial"/>
          <w:color w:val="000000"/>
          <w:lang w:val="pt-BR"/>
        </w:rPr>
      </w:pPr>
    </w:p>
    <w:p w14:paraId="0725968A"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480CD3EB"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 artículo 365 de la misma Carta Política establece que los servicios públicos son inherentes a la finalidad social del Estado y es deber de este, asegurar su prestación eficiente a todos los habitantes del territorio nacional.</w:t>
      </w:r>
    </w:p>
    <w:p w14:paraId="2F2AC985"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1781C36B"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68329A03"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 xml:space="preserve">En el artículo 74 de la Ley 142 de 1994, </w:t>
      </w:r>
      <w:r>
        <w:rPr>
          <w:rFonts w:ascii="Bookman Old Style" w:hAnsi="Bookman Old Style" w:cs="Arial"/>
          <w:bCs/>
        </w:rPr>
        <w:t>se</w:t>
      </w:r>
      <w:r w:rsidRPr="00477D54">
        <w:rPr>
          <w:rFonts w:ascii="Bookman Old Style" w:hAnsi="Bookman Old Style" w:cs="Arial"/>
          <w:bCs/>
        </w:rPr>
        <w:t xml:space="preserv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w:t>
      </w:r>
      <w:r w:rsidRPr="00477D54">
        <w:rPr>
          <w:rFonts w:ascii="Bookman Old Style" w:hAnsi="Bookman Old Style" w:cs="Arial"/>
          <w:bCs/>
        </w:rPr>
        <w:lastRenderedPageBreak/>
        <w:t>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estas y los grandes usuarios.</w:t>
      </w:r>
    </w:p>
    <w:p w14:paraId="784B637E"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 xml:space="preserve">Particularmente el numeral 1 del artículo 74 de la Ley 142 de 1994, le asignó a la CREG la función de expedir el Reglamento de Operación para regular el funcionamiento del Mercado Mayorista de </w:t>
      </w:r>
      <w:r>
        <w:rPr>
          <w:rFonts w:ascii="Bookman Old Style" w:hAnsi="Bookman Old Style" w:cs="Arial"/>
          <w:bCs/>
        </w:rPr>
        <w:t>e</w:t>
      </w:r>
      <w:r w:rsidRPr="00477D54">
        <w:rPr>
          <w:rFonts w:ascii="Bookman Old Style" w:hAnsi="Bookman Old Style" w:cs="Arial"/>
          <w:bCs/>
        </w:rPr>
        <w:t>nergía.</w:t>
      </w:r>
    </w:p>
    <w:p w14:paraId="7F34C305"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 artículo 2 de la Ley 143 de 1994 establece que corresponde al Estado</w:t>
      </w:r>
      <w:r>
        <w:rPr>
          <w:rFonts w:ascii="Bookman Old Style" w:hAnsi="Bookman Old Style" w:cs="Arial"/>
          <w:bCs/>
        </w:rPr>
        <w:t>,</w:t>
      </w:r>
      <w:r w:rsidRPr="00477D54">
        <w:rPr>
          <w:rFonts w:ascii="Bookman Old Style" w:hAnsi="Bookman Old Style" w:cs="Arial"/>
          <w:bCs/>
        </w:rPr>
        <w:t xml:space="preserve"> en relación con el servicio de energía</w:t>
      </w:r>
      <w:r>
        <w:rPr>
          <w:rFonts w:ascii="Bookman Old Style" w:hAnsi="Bookman Old Style" w:cs="Arial"/>
          <w:bCs/>
        </w:rPr>
        <w:t>,</w:t>
      </w:r>
      <w:r w:rsidRPr="00477D54">
        <w:rPr>
          <w:rFonts w:ascii="Bookman Old Style" w:hAnsi="Bookman Old Style" w:cs="Arial"/>
          <w:bCs/>
        </w:rPr>
        <w:t xml:space="preserve"> garantizar la prestación continua e ininterrumpida del servicio.</w:t>
      </w:r>
    </w:p>
    <w:p w14:paraId="262A8689"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 xml:space="preserve">Así mismo el artículo 4 señala que uno de los objetivos del Estado respecto al servicio de energía es </w:t>
      </w:r>
      <w:r w:rsidRPr="00477D54">
        <w:rPr>
          <w:rFonts w:ascii="Bookman Old Style" w:hAnsi="Bookman Old Style" w:cs="Arial"/>
          <w:bCs/>
          <w:i/>
          <w:iCs/>
        </w:rPr>
        <w:t>“Abastecer la demanda de electricidad de la comunidad bajo criterios económicos y de viabilidad financiera, asegurando su cubrimiento en un marco de uso racional y eficiente de los diferentes recursos energéticos del país</w:t>
      </w:r>
      <w:r w:rsidRPr="00477D54">
        <w:rPr>
          <w:rFonts w:ascii="Bookman Old Style" w:hAnsi="Bookman Old Style" w:cs="Arial"/>
          <w:bCs/>
        </w:rPr>
        <w:t xml:space="preserve">”. </w:t>
      </w:r>
    </w:p>
    <w:p w14:paraId="48780904"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3FFEB0BA" w14:textId="77777777" w:rsidR="0075272E" w:rsidRDefault="0075272E" w:rsidP="0075272E">
      <w:pPr>
        <w:spacing w:before="120" w:after="120"/>
        <w:ind w:left="142"/>
        <w:jc w:val="both"/>
        <w:rPr>
          <w:rFonts w:ascii="Bookman Old Style" w:hAnsi="Bookman Old Style" w:cs="Arial"/>
          <w:bCs/>
        </w:rPr>
      </w:pPr>
      <w:r w:rsidRPr="006064F0">
        <w:rPr>
          <w:rFonts w:ascii="Bookman Old Style" w:hAnsi="Bookman Old Style" w:cs="Arial"/>
          <w:bCs/>
        </w:rPr>
        <w:t>El artículo 18 de la Ley 143 de 1994 ordena que la CREG debe desarrollar el marco regulatorio que incentive la inversión en expansión de la capacidad de generación y transmisión del Sistema Interconectado Nacional</w:t>
      </w:r>
      <w:r>
        <w:rPr>
          <w:rFonts w:ascii="Bookman Old Style" w:hAnsi="Bookman Old Style" w:cs="Arial"/>
          <w:bCs/>
        </w:rPr>
        <w:t>, SIN,</w:t>
      </w:r>
      <w:r w:rsidRPr="006064F0">
        <w:rPr>
          <w:rFonts w:ascii="Bookman Old Style" w:hAnsi="Bookman Old Style" w:cs="Arial"/>
          <w:bCs/>
        </w:rPr>
        <w:t xml:space="preserve"> por parte de inversionistas estratégicos, y establecer esquemas que promuevan la entrada de nueva capacidad de generación y transmisión.</w:t>
      </w:r>
    </w:p>
    <w:p w14:paraId="28CE93FB"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 artículo 20 de</w:t>
      </w:r>
      <w:r w:rsidRPr="00394645">
        <w:rPr>
          <w:rFonts w:ascii="Bookman Old Style" w:hAnsi="Bookman Old Style" w:cs="Arial"/>
          <w:bCs/>
        </w:rPr>
        <w:t xml:space="preserve"> </w:t>
      </w:r>
      <w:r w:rsidRPr="006064F0">
        <w:rPr>
          <w:rFonts w:ascii="Bookman Old Style" w:hAnsi="Bookman Old Style" w:cs="Arial"/>
          <w:bCs/>
        </w:rPr>
        <w:t xml:space="preserve">la Ley 143 de 1994 </w:t>
      </w:r>
      <w:r w:rsidRPr="00477D54">
        <w:rPr>
          <w:rFonts w:ascii="Bookman Old Style" w:hAnsi="Bookman Old Style" w:cs="Arial"/>
          <w:bCs/>
        </w:rPr>
        <w:t>definió como objetivo fundamental de la regulación en el sector eléctrico, asegurar una adecuada prestación del servicio mediante el aprovechamiento eficiente de los diferentes recursos energéticos.</w:t>
      </w:r>
    </w:p>
    <w:p w14:paraId="180FD7CE" w14:textId="77777777" w:rsidR="0075272E" w:rsidRPr="00477D54" w:rsidRDefault="0075272E" w:rsidP="0075272E">
      <w:pPr>
        <w:spacing w:before="120" w:after="120"/>
        <w:ind w:left="142"/>
        <w:jc w:val="both"/>
        <w:rPr>
          <w:rFonts w:ascii="Bookman Old Style" w:hAnsi="Bookman Old Style" w:cs="Arial"/>
          <w:bCs/>
        </w:rPr>
      </w:pPr>
      <w:r w:rsidRPr="7E281A13">
        <w:rPr>
          <w:rFonts w:ascii="Bookman Old Style" w:hAnsi="Bookman Old Style" w:cs="Arial"/>
        </w:rPr>
        <w:t>Para cumplir el objetivo señalado, la Ley 143 de 1994, artículo 23, atribuyó a la CREG crear las condiciones para asegurar la disponibilidad de una oferta energética eficiente capaz de abastecer la demanda bajo criterios sociales, económicos, ambientales y de viabilidad financiera, promover y preservar la competencia.</w:t>
      </w:r>
    </w:p>
    <w:p w14:paraId="32D6C896"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 artículo 42 de la Ley 143 de 1994 señala que las compras de electricidad deben realizarse mediante mecanismos que estimulen la libre competencia.</w:t>
      </w:r>
    </w:p>
    <w:p w14:paraId="74D9F8A8" w14:textId="1ABEAE7B"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 xml:space="preserve">La </w:t>
      </w:r>
      <w:r>
        <w:rPr>
          <w:rFonts w:ascii="Bookman Old Style" w:hAnsi="Bookman Old Style" w:cs="Arial"/>
          <w:bCs/>
        </w:rPr>
        <w:t>R</w:t>
      </w:r>
      <w:r w:rsidRPr="00477D54">
        <w:rPr>
          <w:rFonts w:ascii="Bookman Old Style" w:hAnsi="Bookman Old Style" w:cs="Arial"/>
          <w:bCs/>
        </w:rPr>
        <w:t>esolución</w:t>
      </w:r>
      <w:r>
        <w:rPr>
          <w:rFonts w:ascii="Bookman Old Style" w:hAnsi="Bookman Old Style" w:cs="Arial"/>
          <w:bCs/>
        </w:rPr>
        <w:t xml:space="preserve"> CREG</w:t>
      </w:r>
      <w:r w:rsidRPr="00477D54">
        <w:rPr>
          <w:rFonts w:ascii="Bookman Old Style" w:hAnsi="Bookman Old Style" w:cs="Arial"/>
          <w:bCs/>
        </w:rPr>
        <w:t xml:space="preserve"> 024 de 1995 reglamenta los aspectos comerciales del mercado mayorista de energía en el </w:t>
      </w:r>
      <w:r>
        <w:rPr>
          <w:rFonts w:ascii="Bookman Old Style" w:hAnsi="Bookman Old Style" w:cs="Arial"/>
          <w:bCs/>
        </w:rPr>
        <w:t>SIN</w:t>
      </w:r>
      <w:r w:rsidR="008259C9">
        <w:rPr>
          <w:rFonts w:ascii="Bookman Old Style" w:hAnsi="Bookman Old Style" w:cs="Arial"/>
          <w:bCs/>
        </w:rPr>
        <w:t>,</w:t>
      </w:r>
      <w:r>
        <w:rPr>
          <w:rFonts w:ascii="Bookman Old Style" w:hAnsi="Bookman Old Style" w:cs="Arial"/>
          <w:bCs/>
        </w:rPr>
        <w:t xml:space="preserve"> </w:t>
      </w:r>
      <w:r w:rsidRPr="00477D54">
        <w:rPr>
          <w:rFonts w:ascii="Bookman Old Style" w:hAnsi="Bookman Old Style" w:cs="Arial"/>
          <w:bCs/>
        </w:rPr>
        <w:t>como parte del Reglamento de Operación.</w:t>
      </w:r>
    </w:p>
    <w:p w14:paraId="692540E3" w14:textId="77777777" w:rsidR="0075272E" w:rsidRPr="00477D54" w:rsidRDefault="0075272E" w:rsidP="0075272E">
      <w:pPr>
        <w:spacing w:before="120" w:after="120"/>
        <w:ind w:left="142"/>
        <w:jc w:val="both"/>
        <w:rPr>
          <w:rFonts w:ascii="Bookman Old Style" w:hAnsi="Bookman Old Style" w:cs="Arial"/>
          <w:bCs/>
        </w:rPr>
      </w:pPr>
      <w:r w:rsidRPr="1765E184">
        <w:rPr>
          <w:rFonts w:ascii="Bookman Old Style" w:hAnsi="Bookman Old Style" w:cs="Arial"/>
        </w:rPr>
        <w:t>El</w:t>
      </w:r>
      <w:r w:rsidRPr="00477D54">
        <w:rPr>
          <w:rFonts w:ascii="Bookman Old Style" w:hAnsi="Bookman Old Style" w:cs="Arial"/>
          <w:bCs/>
        </w:rPr>
        <w:t xml:space="preserve"> parágrafo del artículo 3 de la </w:t>
      </w:r>
      <w:r>
        <w:rPr>
          <w:rFonts w:ascii="Bookman Old Style" w:hAnsi="Bookman Old Style" w:cs="Arial"/>
          <w:bCs/>
        </w:rPr>
        <w:t>R</w:t>
      </w:r>
      <w:r w:rsidRPr="00477D54">
        <w:rPr>
          <w:rFonts w:ascii="Bookman Old Style" w:hAnsi="Bookman Old Style" w:cs="Arial"/>
          <w:bCs/>
        </w:rPr>
        <w:t>esolución CREG 086 de 1996 y el artículo</w:t>
      </w:r>
      <w:r>
        <w:rPr>
          <w:rFonts w:ascii="Bookman Old Style" w:hAnsi="Bookman Old Style" w:cs="Arial"/>
          <w:bCs/>
        </w:rPr>
        <w:t xml:space="preserve"> 14</w:t>
      </w:r>
      <w:r w:rsidRPr="00477D54">
        <w:rPr>
          <w:rFonts w:ascii="Bookman Old Style" w:hAnsi="Bookman Old Style" w:cs="Arial"/>
          <w:bCs/>
        </w:rPr>
        <w:t> de la Resolución CREG 024 de 2015 establecen el cambio de potencia máxima declarada cuando las plantas menores a 20</w:t>
      </w:r>
      <w:r>
        <w:rPr>
          <w:rFonts w:ascii="Bookman Old Style" w:hAnsi="Bookman Old Style" w:cs="Arial"/>
          <w:bCs/>
        </w:rPr>
        <w:t xml:space="preserve"> </w:t>
      </w:r>
      <w:r w:rsidRPr="00477D54">
        <w:rPr>
          <w:rFonts w:ascii="Bookman Old Style" w:hAnsi="Bookman Old Style" w:cs="Arial"/>
          <w:bCs/>
        </w:rPr>
        <w:t>M</w:t>
      </w:r>
      <w:r>
        <w:rPr>
          <w:rFonts w:ascii="Bookman Old Style" w:hAnsi="Bookman Old Style" w:cs="Arial"/>
          <w:bCs/>
        </w:rPr>
        <w:t>W</w:t>
      </w:r>
      <w:r w:rsidRPr="00477D54">
        <w:rPr>
          <w:rFonts w:ascii="Bookman Old Style" w:hAnsi="Bookman Old Style" w:cs="Arial"/>
          <w:bCs/>
        </w:rPr>
        <w:t>, generación distribuida y autogeneradores a gran escala presenten entregas de potencia promedio por encima de la declarada ante el</w:t>
      </w:r>
      <w:r>
        <w:rPr>
          <w:rFonts w:ascii="Bookman Old Style" w:hAnsi="Bookman Old Style" w:cs="Arial"/>
          <w:bCs/>
        </w:rPr>
        <w:t xml:space="preserve"> Mercado de Energía Mayorista,</w:t>
      </w:r>
      <w:r w:rsidRPr="00477D54">
        <w:rPr>
          <w:rFonts w:ascii="Bookman Old Style" w:hAnsi="Bookman Old Style" w:cs="Arial"/>
          <w:bCs/>
        </w:rPr>
        <w:t xml:space="preserve"> MEM.</w:t>
      </w:r>
    </w:p>
    <w:p w14:paraId="5537280B" w14:textId="77777777" w:rsidR="0075272E"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 xml:space="preserve">Como respuesta a los impactos del fenómeno de El Niño en 2015, se emitió la Resolución </w:t>
      </w:r>
      <w:r>
        <w:rPr>
          <w:rFonts w:ascii="Bookman Old Style" w:hAnsi="Bookman Old Style" w:cs="Arial"/>
          <w:bCs/>
        </w:rPr>
        <w:t xml:space="preserve">CREG </w:t>
      </w:r>
      <w:r w:rsidRPr="00477D54">
        <w:rPr>
          <w:rFonts w:ascii="Bookman Old Style" w:hAnsi="Bookman Old Style" w:cs="Arial"/>
          <w:bCs/>
        </w:rPr>
        <w:t>171 de 2015</w:t>
      </w:r>
      <w:r w:rsidRPr="781D50CF">
        <w:rPr>
          <w:rFonts w:ascii="Bookman Old Style" w:hAnsi="Bookman Old Style" w:cs="Arial"/>
        </w:rPr>
        <w:t>,</w:t>
      </w:r>
      <w:r w:rsidRPr="00477D54">
        <w:rPr>
          <w:rFonts w:ascii="Bookman Old Style" w:hAnsi="Bookman Old Style" w:cs="Arial"/>
          <w:bCs/>
        </w:rPr>
        <w:t xml:space="preserve"> </w:t>
      </w:r>
      <w:r w:rsidRPr="4FCACC23">
        <w:rPr>
          <w:rFonts w:ascii="Bookman Old Style" w:hAnsi="Bookman Old Style" w:cs="Arial"/>
        </w:rPr>
        <w:t xml:space="preserve">en </w:t>
      </w:r>
      <w:r w:rsidRPr="64DE693A">
        <w:rPr>
          <w:rFonts w:ascii="Bookman Old Style" w:hAnsi="Bookman Old Style" w:cs="Arial"/>
        </w:rPr>
        <w:t xml:space="preserve">donde se </w:t>
      </w:r>
      <w:r w:rsidRPr="3CC2FAA5">
        <w:rPr>
          <w:rFonts w:ascii="Bookman Old Style" w:hAnsi="Bookman Old Style" w:cs="Arial"/>
        </w:rPr>
        <w:t xml:space="preserve">estableció temporalmente la </w:t>
      </w:r>
      <w:r w:rsidRPr="3CC2FAA5">
        <w:rPr>
          <w:rFonts w:ascii="Bookman Old Style" w:hAnsi="Bookman Old Style" w:cs="Arial"/>
        </w:rPr>
        <w:lastRenderedPageBreak/>
        <w:t>participación de las plantas no despachadas con energía excedentaria en el MEM, para aumentar la disponibilidad de energía en el SIN.</w:t>
      </w:r>
    </w:p>
    <w:p w14:paraId="40081732"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Mediante la Resolución CREG 157 de 2011 la Comisión modificó las normas sobre el registro de fronteras comerciales y contratos de energía de largo plazo, en las cuales se define un procedimiento de registro de fronteras comerciales que tiene varias etapas</w:t>
      </w:r>
      <w:r>
        <w:rPr>
          <w:rFonts w:ascii="Bookman Old Style" w:hAnsi="Bookman Old Style" w:cs="Arial"/>
          <w:bCs/>
        </w:rPr>
        <w:t>,</w:t>
      </w:r>
      <w:r w:rsidRPr="00477D54">
        <w:rPr>
          <w:rFonts w:ascii="Bookman Old Style" w:hAnsi="Bookman Old Style" w:cs="Arial"/>
          <w:bCs/>
        </w:rPr>
        <w:t xml:space="preserve"> cuya ejecución dura aproximadamente 15 días.</w:t>
      </w:r>
    </w:p>
    <w:p w14:paraId="116EB3E8" w14:textId="77777777" w:rsidR="0075272E"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 xml:space="preserve">Mediante la Resolución CREG 075 de 2021, </w:t>
      </w:r>
      <w:r>
        <w:rPr>
          <w:rFonts w:ascii="Bookman Old Style" w:hAnsi="Bookman Old Style" w:cs="Arial"/>
          <w:bCs/>
        </w:rPr>
        <w:t>“</w:t>
      </w:r>
      <w:r w:rsidRPr="00477D54">
        <w:rPr>
          <w:rFonts w:ascii="Bookman Old Style" w:hAnsi="Bookman Old Style" w:cs="Arial"/>
          <w:bCs/>
          <w:i/>
          <w:iCs/>
        </w:rPr>
        <w:t>Por la cual se definen las disposiciones y procedimientos para la asignación de capacidad de transporte en el Sistema Interconectado Nacional</w:t>
      </w:r>
      <w:r>
        <w:rPr>
          <w:rFonts w:ascii="Bookman Old Style" w:hAnsi="Bookman Old Style" w:cs="Arial"/>
          <w:bCs/>
          <w:i/>
          <w:iCs/>
        </w:rPr>
        <w:t>”</w:t>
      </w:r>
      <w:r w:rsidRPr="00477D54">
        <w:rPr>
          <w:rFonts w:ascii="Bookman Old Style" w:hAnsi="Bookman Old Style" w:cs="Arial"/>
          <w:bCs/>
          <w:i/>
          <w:iCs/>
        </w:rPr>
        <w:t xml:space="preserve">, </w:t>
      </w:r>
      <w:r w:rsidRPr="00477D54">
        <w:rPr>
          <w:rFonts w:ascii="Bookman Old Style" w:hAnsi="Bookman Old Style" w:cs="Arial"/>
          <w:bCs/>
        </w:rPr>
        <w:t>con fundamento en los lineamientos de política pública establecidos por el Ministerio de Minas y Energía mediante la Resolución 40311 de 2020, la CREG definió las condiciones regulatorias para la asignación de capacidad de transporte a generadores en el S</w:t>
      </w:r>
      <w:r>
        <w:rPr>
          <w:rFonts w:ascii="Bookman Old Style" w:hAnsi="Bookman Old Style" w:cs="Arial"/>
          <w:bCs/>
        </w:rPr>
        <w:t>IN</w:t>
      </w:r>
      <w:r w:rsidRPr="00477D54">
        <w:rPr>
          <w:rFonts w:ascii="Bookman Old Style" w:hAnsi="Bookman Old Style" w:cs="Arial"/>
          <w:bCs/>
        </w:rPr>
        <w:t>, señalando los criterios y procedimientos a tener en cuenta por parte de los involucrados en esta actividad.</w:t>
      </w:r>
    </w:p>
    <w:p w14:paraId="5EF87D7B" w14:textId="77777777" w:rsidR="0075272E" w:rsidRDefault="0075272E" w:rsidP="0075272E">
      <w:pPr>
        <w:spacing w:before="120" w:after="120"/>
        <w:ind w:left="142"/>
        <w:jc w:val="both"/>
        <w:rPr>
          <w:rFonts w:ascii="Bookman Old Style" w:hAnsi="Bookman Old Style" w:cs="Arial"/>
          <w:bCs/>
        </w:rPr>
      </w:pPr>
      <w:r>
        <w:rPr>
          <w:rFonts w:ascii="Bookman Old Style" w:hAnsi="Bookman Old Style" w:cs="Arial"/>
          <w:bCs/>
        </w:rPr>
        <w:t xml:space="preserve">Mediante la Resolución CREG 174 de 2021, </w:t>
      </w:r>
      <w:r w:rsidRPr="00E31F20">
        <w:rPr>
          <w:rFonts w:ascii="Bookman Old Style" w:hAnsi="Bookman Old Style" w:cs="Arial"/>
          <w:bCs/>
          <w:i/>
          <w:iCs/>
        </w:rPr>
        <w:t>“Por la cual se regulan las actividades de autogeneración a pequeña escala y de generación distribuida en el Sistema Interconectado Nacional”</w:t>
      </w:r>
      <w:r>
        <w:rPr>
          <w:rFonts w:ascii="Bookman Old Style" w:hAnsi="Bookman Old Style" w:cs="Arial"/>
          <w:bCs/>
        </w:rPr>
        <w:t>, se establecieron los</w:t>
      </w:r>
      <w:r w:rsidRPr="00990D70">
        <w:rPr>
          <w:rFonts w:ascii="Bookman Old Style" w:hAnsi="Bookman Old Style" w:cs="Arial"/>
          <w:bCs/>
        </w:rPr>
        <w:t xml:space="preserve"> aspectos operativos y comerciales para permitir la integración de la autogeneración a pequeña escala y de la generación distribuida al </w:t>
      </w:r>
      <w:r>
        <w:rPr>
          <w:rFonts w:ascii="Bookman Old Style" w:hAnsi="Bookman Old Style" w:cs="Arial"/>
          <w:bCs/>
        </w:rPr>
        <w:t>SIN y los</w:t>
      </w:r>
      <w:r w:rsidRPr="00990D70">
        <w:rPr>
          <w:rFonts w:ascii="Bookman Old Style" w:hAnsi="Bookman Old Style" w:cs="Arial"/>
          <w:bCs/>
        </w:rPr>
        <w:t xml:space="preserve"> aspectos de procedimiento de conexión de los autogeneradores a gran escala con potencia máxima declarada menor a 5 MW</w:t>
      </w:r>
      <w:r>
        <w:rPr>
          <w:rFonts w:ascii="Bookman Old Style" w:hAnsi="Bookman Old Style" w:cs="Arial"/>
          <w:bCs/>
        </w:rPr>
        <w:t>.</w:t>
      </w:r>
    </w:p>
    <w:p w14:paraId="7DF2CC58" w14:textId="2FD9BFCF" w:rsidR="0075272E" w:rsidRDefault="0075272E" w:rsidP="0075272E">
      <w:pPr>
        <w:spacing w:before="120" w:after="120"/>
        <w:ind w:left="142"/>
        <w:jc w:val="both"/>
        <w:rPr>
          <w:rFonts w:ascii="Bookman Old Style" w:eastAsia="Bookman Old Style" w:hAnsi="Bookman Old Style" w:cs="Bookman Old Style"/>
        </w:rPr>
      </w:pPr>
      <w:r>
        <w:rPr>
          <w:rFonts w:ascii="Bookman Old Style" w:hAnsi="Bookman Old Style" w:cs="Arial"/>
        </w:rPr>
        <w:t>E</w:t>
      </w:r>
      <w:r w:rsidRPr="69A87B5F">
        <w:rPr>
          <w:rFonts w:ascii="Bookman Old Style" w:hAnsi="Bookman Old Style" w:cs="Arial"/>
        </w:rPr>
        <w:t>l</w:t>
      </w:r>
      <w:r w:rsidRPr="4BD05052">
        <w:rPr>
          <w:rFonts w:ascii="Bookman Old Style" w:hAnsi="Bookman Old Style" w:cs="Arial"/>
        </w:rPr>
        <w:t xml:space="preserve"> Consejo Nacional de Operación del sector eléctrico, </w:t>
      </w:r>
      <w:r w:rsidRPr="52A43CE7">
        <w:rPr>
          <w:rFonts w:ascii="Bookman Old Style" w:eastAsia="Bookman Old Style" w:hAnsi="Bookman Old Style" w:cs="Bookman Old Style"/>
        </w:rPr>
        <w:t xml:space="preserve">en uso de sus facultades legales, en especial las conferidas en el Artículo 36 de la Ley 143 de 1994, el Anexo general de la Resolución CREG 025 de </w:t>
      </w:r>
      <w:r w:rsidRPr="6B444BC0">
        <w:rPr>
          <w:rFonts w:ascii="Bookman Old Style" w:eastAsia="Bookman Old Style" w:hAnsi="Bookman Old Style" w:cs="Bookman Old Style"/>
        </w:rPr>
        <w:t xml:space="preserve">1995, </w:t>
      </w:r>
      <w:r w:rsidRPr="378345DB">
        <w:rPr>
          <w:rFonts w:ascii="Bookman Old Style" w:eastAsia="Bookman Old Style" w:hAnsi="Bookman Old Style" w:cs="Bookman Old Style"/>
        </w:rPr>
        <w:t xml:space="preserve">expidió </w:t>
      </w:r>
      <w:r w:rsidRPr="4BD05052">
        <w:rPr>
          <w:rFonts w:ascii="Bookman Old Style" w:hAnsi="Bookman Old Style" w:cs="Arial"/>
        </w:rPr>
        <w:t>el Acuerdo 1585 de 2022</w:t>
      </w:r>
      <w:r w:rsidRPr="378345DB">
        <w:rPr>
          <w:rFonts w:ascii="Bookman Old Style" w:hAnsi="Bookman Old Style" w:cs="Arial"/>
        </w:rPr>
        <w:t xml:space="preserve"> </w:t>
      </w:r>
      <w:r w:rsidR="008259C9">
        <w:rPr>
          <w:rFonts w:ascii="Bookman Old Style" w:hAnsi="Bookman Old Style" w:cs="Arial"/>
        </w:rPr>
        <w:t>“</w:t>
      </w:r>
      <w:r w:rsidRPr="008259C9">
        <w:rPr>
          <w:rFonts w:ascii="Bookman Old Style" w:hAnsi="Bookman Old Style" w:cs="Arial"/>
          <w:i/>
          <w:iCs/>
        </w:rPr>
        <w:t>p</w:t>
      </w:r>
      <w:r w:rsidRPr="008259C9">
        <w:rPr>
          <w:rFonts w:ascii="Bookman Old Style" w:eastAsia="Bookman Old Style" w:hAnsi="Bookman Old Style" w:cs="Bookman Old Style"/>
          <w:i/>
          <w:iCs/>
        </w:rPr>
        <w:t>or el cual se aprueba la actualización de los procedimientos para solicitar el cambio de parámetros técnicos de las plantas de generación, activos de uso del STN, activos de conexión al STN y sistemas de almacenamiento de energía con baterías SAEB</w:t>
      </w:r>
      <w:r w:rsidR="008259C9">
        <w:rPr>
          <w:rFonts w:ascii="Bookman Old Style" w:eastAsia="Bookman Old Style" w:hAnsi="Bookman Old Style" w:cs="Bookman Old Style"/>
          <w:i/>
          <w:iCs/>
        </w:rPr>
        <w:t>”</w:t>
      </w:r>
      <w:r w:rsidRPr="1198E5AC">
        <w:rPr>
          <w:rFonts w:ascii="Bookman Old Style" w:eastAsia="Bookman Old Style" w:hAnsi="Bookman Old Style" w:cs="Bookman Old Style"/>
        </w:rPr>
        <w:t>.</w:t>
      </w:r>
    </w:p>
    <w:p w14:paraId="6696450D" w14:textId="77777777" w:rsidR="0075272E" w:rsidRPr="00477D54" w:rsidRDefault="0075272E" w:rsidP="0075272E">
      <w:pPr>
        <w:spacing w:before="120" w:after="120"/>
        <w:ind w:left="142"/>
        <w:jc w:val="both"/>
        <w:rPr>
          <w:rFonts w:ascii="Bookman Old Style" w:hAnsi="Bookman Old Style" w:cs="Arial"/>
          <w:bCs/>
        </w:rPr>
      </w:pPr>
      <w:r w:rsidRPr="00477D54">
        <w:rPr>
          <w:rFonts w:ascii="Bookman Old Style" w:hAnsi="Bookman Old Style" w:cs="Arial"/>
          <w:bCs/>
        </w:rPr>
        <w:t>El</w:t>
      </w:r>
      <w:r>
        <w:rPr>
          <w:rFonts w:ascii="Bookman Old Style" w:hAnsi="Bookman Old Style" w:cs="Arial"/>
          <w:bCs/>
        </w:rPr>
        <w:t xml:space="preserve"> </w:t>
      </w:r>
      <w:r w:rsidRPr="00B94224">
        <w:rPr>
          <w:rFonts w:ascii="Bookman Old Style" w:hAnsi="Bookman Old Style" w:cs="Arial"/>
          <w:bCs/>
        </w:rPr>
        <w:t>Instituto de Hidrología, Meteorología y Estudios Ambientales</w:t>
      </w:r>
      <w:r>
        <w:rPr>
          <w:rFonts w:ascii="Bookman Old Style" w:hAnsi="Bookman Old Style" w:cs="Arial"/>
          <w:bCs/>
        </w:rPr>
        <w:t>,</w:t>
      </w:r>
      <w:r w:rsidRPr="00477D54">
        <w:rPr>
          <w:rFonts w:ascii="Bookman Old Style" w:hAnsi="Bookman Old Style" w:cs="Arial"/>
          <w:bCs/>
        </w:rPr>
        <w:t xml:space="preserve"> IDEAM</w:t>
      </w:r>
      <w:r>
        <w:rPr>
          <w:rFonts w:ascii="Bookman Old Style" w:hAnsi="Bookman Old Style" w:cs="Arial"/>
          <w:bCs/>
        </w:rPr>
        <w:t>,</w:t>
      </w:r>
      <w:r w:rsidRPr="00477D54">
        <w:rPr>
          <w:rFonts w:ascii="Bookman Old Style" w:hAnsi="Bookman Old Style" w:cs="Arial"/>
          <w:bCs/>
        </w:rPr>
        <w:t xml:space="preserve"> en su informe de predicción climática de noviembre 3 de 2023, manifiesta que: </w:t>
      </w:r>
      <w:r w:rsidRPr="00477D54">
        <w:rPr>
          <w:rFonts w:ascii="Bookman Old Style" w:hAnsi="Bookman Old Style" w:cs="Arial"/>
          <w:bCs/>
          <w:i/>
          <w:iCs/>
        </w:rPr>
        <w:t>“(…) el comportamiento esperado del clima en Colombia para los próximos seis meses no solo estará influenciado por el ciclo estacional típico de la época del año, de oscilaciones de distinta frecuencia como las ondas intraestacionales y ecuatoriales, sino también por la condición actual del fenómeno El Niño</w:t>
      </w:r>
      <w:r w:rsidRPr="00477D54">
        <w:rPr>
          <w:rFonts w:ascii="Bookman Old Style" w:hAnsi="Bookman Old Style" w:cs="Arial"/>
          <w:bCs/>
        </w:rPr>
        <w:t>”.</w:t>
      </w:r>
    </w:p>
    <w:p w14:paraId="2DE3F1F2" w14:textId="77777777" w:rsidR="0075272E" w:rsidRPr="00477D54" w:rsidRDefault="0075272E" w:rsidP="0075272E">
      <w:pPr>
        <w:spacing w:before="120" w:after="120"/>
        <w:ind w:left="142"/>
        <w:jc w:val="both"/>
        <w:rPr>
          <w:rFonts w:ascii="Bookman Old Style" w:hAnsi="Bookman Old Style" w:cs="Arial"/>
          <w:bCs/>
        </w:rPr>
      </w:pPr>
      <w:r>
        <w:rPr>
          <w:rFonts w:ascii="Bookman Old Style" w:hAnsi="Bookman Old Style" w:cs="Arial"/>
          <w:bCs/>
        </w:rPr>
        <w:t>L</w:t>
      </w:r>
      <w:r w:rsidRPr="00477D54">
        <w:rPr>
          <w:rFonts w:ascii="Bookman Old Style" w:hAnsi="Bookman Old Style" w:cs="Arial"/>
          <w:bCs/>
        </w:rPr>
        <w:t>a participación de generación hidráulica en Colombia asciende al 67%.</w:t>
      </w:r>
      <w:r>
        <w:rPr>
          <w:rFonts w:ascii="Bookman Old Style" w:hAnsi="Bookman Old Style" w:cs="Arial"/>
          <w:bCs/>
        </w:rPr>
        <w:t xml:space="preserve"> Sin embargo, </w:t>
      </w:r>
      <w:r w:rsidRPr="00477D54">
        <w:rPr>
          <w:rFonts w:ascii="Bookman Old Style" w:hAnsi="Bookman Old Style" w:cs="Arial"/>
          <w:bCs/>
        </w:rPr>
        <w:t>con base en la comparación del promedio histórico frente al promedio acumulado en el año 2023</w:t>
      </w:r>
      <w:r>
        <w:rPr>
          <w:rFonts w:ascii="Bookman Old Style" w:hAnsi="Bookman Old Style" w:cs="Arial"/>
          <w:bCs/>
        </w:rPr>
        <w:t>, l</w:t>
      </w:r>
      <w:r w:rsidRPr="00477D54">
        <w:rPr>
          <w:rFonts w:ascii="Bookman Old Style" w:hAnsi="Bookman Old Style" w:cs="Arial"/>
          <w:bCs/>
        </w:rPr>
        <w:t xml:space="preserve">os aportes hídricos presentan una reducción importante debido al Fenómeno de El Niño, tal y como </w:t>
      </w:r>
      <w:r>
        <w:rPr>
          <w:rFonts w:ascii="Bookman Old Style" w:hAnsi="Bookman Old Style" w:cs="Arial"/>
          <w:bCs/>
        </w:rPr>
        <w:t>se registra en la información publicada en el sitio web Sinergox administrado por XM S.A. E.S.P.</w:t>
      </w:r>
    </w:p>
    <w:p w14:paraId="1CC58BCF" w14:textId="77777777" w:rsidR="0075272E" w:rsidRDefault="0075272E" w:rsidP="0075272E">
      <w:pPr>
        <w:spacing w:before="120" w:after="120"/>
        <w:ind w:left="142"/>
        <w:jc w:val="both"/>
        <w:rPr>
          <w:rFonts w:ascii="Bookman Old Style" w:hAnsi="Bookman Old Style" w:cs="Arial"/>
        </w:rPr>
      </w:pPr>
      <w:r w:rsidRPr="56D37AB8">
        <w:rPr>
          <w:rFonts w:ascii="Bookman Old Style" w:hAnsi="Bookman Old Style" w:cs="Arial"/>
        </w:rPr>
        <w:t>Con el radicado CREG E2023018342 del 13 de octubre de 2023, la empresa Drummond Energy Inc. remitió una comunicación al MME, con copia a la CREG, ofreciendo la entrega de excedentes de autogeneración para aliviar los efectos del fenómeno de El Niño.</w:t>
      </w:r>
    </w:p>
    <w:p w14:paraId="61915532" w14:textId="77777777" w:rsidR="0075272E" w:rsidRPr="00477D54" w:rsidRDefault="0075272E" w:rsidP="0075272E">
      <w:pPr>
        <w:spacing w:before="120" w:after="120"/>
        <w:ind w:left="142"/>
        <w:jc w:val="both"/>
        <w:rPr>
          <w:rFonts w:ascii="Bookman Old Style" w:hAnsi="Bookman Old Style" w:cs="Arial"/>
        </w:rPr>
      </w:pPr>
      <w:r w:rsidRPr="5AD46134">
        <w:rPr>
          <w:rFonts w:ascii="Bookman Old Style" w:hAnsi="Bookman Old Style" w:cs="Arial"/>
        </w:rPr>
        <w:t xml:space="preserve">Mediante el Proyecto de Resolución CREG 701 020 de 2023 se puso en consulta una propuesta regulatoria en la cual se establecían medidas transitorias que permitían a las plantas menores, cogeneradores y autogeneradores a gran escala, comercializar su energía excedentaria en contratos con destino a la </w:t>
      </w:r>
      <w:r w:rsidRPr="5AD46134">
        <w:rPr>
          <w:rFonts w:ascii="Bookman Old Style" w:hAnsi="Bookman Old Style" w:cs="Arial"/>
        </w:rPr>
        <w:lastRenderedPageBreak/>
        <w:t>demanda regulada, a través de un mecanismo de comercialización. Los comentarios se recibieron desde el 18 de septiembre al 3 de octubre.</w:t>
      </w:r>
    </w:p>
    <w:p w14:paraId="1F7E4691" w14:textId="77777777" w:rsidR="0075272E" w:rsidRPr="00477D54" w:rsidRDefault="0075272E" w:rsidP="0075272E">
      <w:pPr>
        <w:spacing w:before="120" w:after="120"/>
        <w:ind w:left="142"/>
        <w:jc w:val="both"/>
        <w:rPr>
          <w:rFonts w:ascii="Bookman Old Style" w:hAnsi="Bookman Old Style" w:cs="Arial"/>
          <w:bCs/>
        </w:rPr>
      </w:pPr>
      <w:r w:rsidRPr="00000124">
        <w:rPr>
          <w:rFonts w:ascii="Bookman Old Style" w:hAnsi="Bookman Old Style" w:cs="Arial"/>
          <w:bCs/>
        </w:rPr>
        <w:t>Finalizado el periodo de comentarios, la Comisión llevó a cabo la recopilación y análisis de estos, considerando necesario definir una alternativa de rápida implementación para la gestión de los excedentes provenientes de las plantas menores, cogeneradores y autogeneradores a gran escala ante la condición actual decretada por el inicio del Fenómeno de El Niño.</w:t>
      </w:r>
    </w:p>
    <w:p w14:paraId="4A65F5A0" w14:textId="77777777" w:rsidR="0075272E" w:rsidRDefault="0075272E" w:rsidP="0075272E">
      <w:pPr>
        <w:spacing w:before="120" w:after="120"/>
        <w:ind w:left="142"/>
        <w:jc w:val="both"/>
        <w:rPr>
          <w:rFonts w:ascii="Bookman Old Style" w:hAnsi="Bookman Old Style" w:cs="Arial"/>
        </w:rPr>
      </w:pPr>
      <w:r w:rsidRPr="2D180CB6">
        <w:rPr>
          <w:rFonts w:ascii="Bookman Old Style" w:hAnsi="Bookman Old Style" w:cs="Arial"/>
        </w:rPr>
        <w:t xml:space="preserve">La CREG puede tomar medidas que garanticen la continuidad y calidad en la prestación del servicio de energía eléctrica en el SIN, oportuna y permanente ante situaciones extraordinarias, transitorias y críticas, que puedan presentarse en un momento determinado y afectar la atención de la demanda eléctrica, el suministro oportuno y regular a los usuarios finales, según lo dispuesto en el Decreto 2108 de 2015, que adicionó el artículo 2.3.2.1.4 al Decreto 1073 de 2015. </w:t>
      </w:r>
    </w:p>
    <w:p w14:paraId="448CE9DE" w14:textId="77777777" w:rsidR="0075272E" w:rsidRDefault="0075272E" w:rsidP="0075272E">
      <w:pPr>
        <w:spacing w:before="120" w:after="120"/>
        <w:ind w:left="142"/>
        <w:jc w:val="both"/>
        <w:rPr>
          <w:rFonts w:ascii="Bookman Old Style" w:hAnsi="Bookman Old Style" w:cs="Arial"/>
        </w:rPr>
      </w:pPr>
      <w:r w:rsidRPr="5AD46134">
        <w:rPr>
          <w:rFonts w:ascii="Bookman Old Style" w:hAnsi="Bookman Old Style" w:cs="Arial"/>
        </w:rPr>
        <w:t>Mediante el Proyecto de Resolución CREG 701 033 de 2023 la Comisión publicó para consulta el proyecto “P</w:t>
      </w:r>
      <w:r w:rsidRPr="5AD46134">
        <w:rPr>
          <w:rFonts w:ascii="Bookman Old Style" w:hAnsi="Bookman Old Style" w:cs="Arial"/>
          <w:i/>
          <w:iCs/>
        </w:rPr>
        <w:t>or la cual se establecen disposiciones transitorias para la entrega de excedentes de generación de energía al SIN</w:t>
      </w:r>
      <w:r w:rsidRPr="5AD46134">
        <w:rPr>
          <w:rFonts w:ascii="Bookman Old Style" w:hAnsi="Bookman Old Style" w:cs="Arial"/>
        </w:rPr>
        <w:t>” con el propósito de aumentar la generación disponible en el SIN durante la ocurrencia del Fenómeno de El Niño, mediante la flexibilización de disposiciones regulatorias existentes, de manera que se permita la entrega temporal de excedentes de energía de plantas que tengan la disponibilidad para hacerlo en este periodo.</w:t>
      </w:r>
    </w:p>
    <w:p w14:paraId="6CF4D551" w14:textId="77777777" w:rsidR="0075272E" w:rsidRPr="00477D54" w:rsidRDefault="0075272E" w:rsidP="0075272E">
      <w:pPr>
        <w:spacing w:before="120" w:after="120"/>
        <w:ind w:left="142"/>
        <w:jc w:val="both"/>
        <w:rPr>
          <w:rFonts w:ascii="Bookman Old Style" w:hAnsi="Bookman Old Style" w:cs="Arial"/>
          <w:bCs/>
        </w:rPr>
      </w:pPr>
      <w:r>
        <w:rPr>
          <w:rFonts w:ascii="Bookman Old Style" w:hAnsi="Bookman Old Style" w:cs="Arial"/>
        </w:rPr>
        <w:t>Sobre el Proyecto de Resolución CREG 701 033 de 2023</w:t>
      </w:r>
      <w:r>
        <w:rPr>
          <w:rFonts w:ascii="Bookman Old Style" w:hAnsi="Bookman Old Style" w:cs="Arial"/>
          <w:bCs/>
        </w:rPr>
        <w:t xml:space="preserve"> se recibieron los comentarios de: OGE Energys, E2024000378 del 6 de enero de 2024; OGE Energys, E2024000476 del 10 de enero de 2024; Asociación Colombiana de Distribuidores de Energía Eléctrica - Asocodis, E2024000525 del 11 de enero de 2024; Celsia S.A., E2024000531 del 11 de enero de 2024; A</w:t>
      </w:r>
      <w:r w:rsidRPr="00821D79">
        <w:rPr>
          <w:rFonts w:ascii="Bookman Old Style" w:hAnsi="Bookman Old Style" w:cs="Arial"/>
          <w:bCs/>
        </w:rPr>
        <w:t>sociación Nacional de Empresas de Servicios Públicos</w:t>
      </w:r>
      <w:r w:rsidRPr="004D2EF9">
        <w:rPr>
          <w:rFonts w:ascii="Bookman Old Style" w:hAnsi="Bookman Old Style" w:cs="Arial"/>
          <w:bCs/>
        </w:rPr>
        <w:t xml:space="preserve"> </w:t>
      </w:r>
      <w:r w:rsidRPr="00821D79">
        <w:rPr>
          <w:rFonts w:ascii="Bookman Old Style" w:hAnsi="Bookman Old Style" w:cs="Arial"/>
          <w:bCs/>
        </w:rPr>
        <w:t>y Comunicaciones</w:t>
      </w:r>
      <w:r>
        <w:rPr>
          <w:rFonts w:ascii="Bookman Old Style" w:hAnsi="Bookman Old Style" w:cs="Arial"/>
          <w:bCs/>
        </w:rPr>
        <w:t xml:space="preserve"> – Andesco, E2024000535 del 11 de enero de 2024; Ecopetrol S.A. E2024000546, del 12 de enero de 2024; XM S.A. E.S.P., E2024000547 del 11 de enero de 2024; Empresa de Energía de Pereira S.A E.S.P., E2024000551 del 12 de enero de 2024; Enel Colombia S.A E.S.P., E2024000552 del 12 de enero de 2024; SER Colombia, E2024000553 del 12 de enero de 2024; Comité Asesor de Comercialización – CAC, E2024000554 del 11 de enero de 2024; Proeléctrica E.S.P., E2024000558 del 12 de enero de 2024; </w:t>
      </w:r>
      <w:r w:rsidRPr="000E5C9F">
        <w:rPr>
          <w:rFonts w:ascii="Bookman Old Style" w:hAnsi="Bookman Old Style" w:cs="Arial"/>
          <w:bCs/>
        </w:rPr>
        <w:t>Asociación Colombiana de Generadores de</w:t>
      </w:r>
      <w:r>
        <w:rPr>
          <w:rFonts w:ascii="Bookman Old Style" w:hAnsi="Bookman Old Style" w:cs="Arial"/>
          <w:bCs/>
        </w:rPr>
        <w:t xml:space="preserve"> </w:t>
      </w:r>
      <w:r w:rsidRPr="000E5C9F">
        <w:rPr>
          <w:rFonts w:ascii="Bookman Old Style" w:hAnsi="Bookman Old Style" w:cs="Arial"/>
          <w:bCs/>
        </w:rPr>
        <w:t>Energía Eléctrica</w:t>
      </w:r>
      <w:r>
        <w:rPr>
          <w:rFonts w:ascii="Bookman Old Style" w:hAnsi="Bookman Old Style" w:cs="Arial"/>
          <w:bCs/>
        </w:rPr>
        <w:t xml:space="preserve"> –</w:t>
      </w:r>
      <w:r w:rsidRPr="000E5C9F">
        <w:rPr>
          <w:rFonts w:ascii="Bookman Old Style" w:hAnsi="Bookman Old Style" w:cs="Arial"/>
          <w:bCs/>
        </w:rPr>
        <w:t xml:space="preserve"> Acolgen</w:t>
      </w:r>
      <w:r>
        <w:rPr>
          <w:rFonts w:ascii="Bookman Old Style" w:hAnsi="Bookman Old Style" w:cs="Arial"/>
          <w:bCs/>
        </w:rPr>
        <w:t xml:space="preserve">, E2024000562 del 12 de enero de 2024; Smarten S.A E.S.P., E2024000794 del 17 de enero de 2024 y Unidad de Planeación Minero Energética – UPME, E2024000890 del 18 de enero de 2024. </w:t>
      </w:r>
    </w:p>
    <w:p w14:paraId="07A8854E" w14:textId="77777777" w:rsidR="0075272E" w:rsidRPr="0060769B" w:rsidRDefault="0075272E" w:rsidP="0075272E">
      <w:pPr>
        <w:spacing w:before="120" w:after="120"/>
        <w:ind w:left="142"/>
        <w:jc w:val="both"/>
        <w:rPr>
          <w:rFonts w:ascii="Bookman Old Style" w:hAnsi="Bookman Old Style" w:cs="Arial"/>
          <w:bCs/>
        </w:rPr>
      </w:pPr>
      <w:r w:rsidRPr="0060769B">
        <w:rPr>
          <w:rFonts w:ascii="Bookman Old Style" w:hAnsi="Bookman Old Style" w:cs="Arial"/>
          <w:bCs/>
        </w:rPr>
        <w:t>Como resultado del diligenciamiento del formulario sobre prácticas restrictivas a la competencia, en cumplimiento de lo establecido en el Decreto 1074 de 2015, se concluyó que esta normativa no es restrictiva de la competencia. Por lo anterior, no se informó a la Superintendencia de Industria y Comercio, SIC, sobre la presente resolución.</w:t>
      </w:r>
    </w:p>
    <w:p w14:paraId="3CA8454D" w14:textId="6A29D1DA" w:rsidR="0075272E" w:rsidRDefault="0075272E" w:rsidP="00F8415E">
      <w:pPr>
        <w:spacing w:before="120" w:after="120"/>
        <w:ind w:left="142"/>
        <w:jc w:val="both"/>
        <w:rPr>
          <w:rFonts w:ascii="Bookman Old Style" w:hAnsi="Bookman Old Style" w:cs="Arial"/>
          <w:color w:val="000000"/>
        </w:rPr>
      </w:pPr>
      <w:r w:rsidRPr="00075394">
        <w:rPr>
          <w:rFonts w:ascii="Bookman Old Style" w:hAnsi="Bookman Old Style" w:cs="Arial"/>
          <w:bCs/>
        </w:rPr>
        <w:t xml:space="preserve">La Comisión de Regulación de Energía y Gas, en su sesión No. </w:t>
      </w:r>
      <w:r w:rsidRPr="00C87FDC">
        <w:rPr>
          <w:rFonts w:ascii="Bookman Old Style" w:hAnsi="Bookman Old Style" w:cs="Arial"/>
        </w:rPr>
        <w:t xml:space="preserve">1306 del 30 de </w:t>
      </w:r>
      <w:r>
        <w:rPr>
          <w:rFonts w:ascii="Bookman Old Style" w:hAnsi="Bookman Old Style" w:cs="Arial"/>
        </w:rPr>
        <w:t>enero</w:t>
      </w:r>
      <w:r w:rsidRPr="00075394">
        <w:rPr>
          <w:rFonts w:ascii="Bookman Old Style" w:hAnsi="Bookman Old Style" w:cs="Arial"/>
          <w:bCs/>
        </w:rPr>
        <w:t xml:space="preserve"> de </w:t>
      </w:r>
      <w:r w:rsidRPr="60AE0E52">
        <w:rPr>
          <w:rFonts w:ascii="Bookman Old Style" w:hAnsi="Bookman Old Style" w:cs="Arial"/>
        </w:rPr>
        <w:t>2024</w:t>
      </w:r>
      <w:r w:rsidRPr="00075394">
        <w:rPr>
          <w:rFonts w:ascii="Bookman Old Style" w:hAnsi="Bookman Old Style" w:cs="Arial"/>
          <w:bCs/>
        </w:rPr>
        <w:t>, acordó expedir esta resolución.</w:t>
      </w:r>
    </w:p>
    <w:p w14:paraId="435CB3EA" w14:textId="77777777" w:rsidR="005A3FAF" w:rsidRPr="00632A36" w:rsidRDefault="005A3FAF" w:rsidP="0075272E">
      <w:pPr>
        <w:ind w:right="-142"/>
        <w:jc w:val="center"/>
        <w:rPr>
          <w:rFonts w:ascii="Bookman Old Style" w:hAnsi="Bookman Old Style" w:cs="Arial"/>
          <w:color w:val="000000"/>
        </w:rPr>
      </w:pPr>
    </w:p>
    <w:p w14:paraId="1E776C92" w14:textId="77777777" w:rsidR="0075272E" w:rsidRPr="00964A38" w:rsidRDefault="0075272E" w:rsidP="0075272E">
      <w:pPr>
        <w:ind w:right="-142"/>
        <w:jc w:val="center"/>
        <w:rPr>
          <w:rFonts w:ascii="Bookman Old Style" w:hAnsi="Bookman Old Style" w:cs="Arial"/>
          <w:color w:val="000000"/>
        </w:rPr>
      </w:pPr>
    </w:p>
    <w:p w14:paraId="5BD145FC" w14:textId="77777777" w:rsidR="00F8415E" w:rsidRDefault="0075272E" w:rsidP="0075272E">
      <w:pPr>
        <w:keepNext/>
        <w:tabs>
          <w:tab w:val="center" w:pos="4678"/>
        </w:tabs>
        <w:jc w:val="both"/>
        <w:rPr>
          <w:rFonts w:ascii="Bookman Old Style" w:hAnsi="Bookman Old Style"/>
          <w:spacing w:val="-3"/>
        </w:rPr>
      </w:pPr>
      <w:r w:rsidRPr="00E30F97">
        <w:rPr>
          <w:rFonts w:ascii="Bookman Old Style" w:hAnsi="Bookman Old Style"/>
          <w:spacing w:val="-3"/>
        </w:rPr>
        <w:lastRenderedPageBreak/>
        <w:tab/>
      </w:r>
    </w:p>
    <w:p w14:paraId="668CEF75" w14:textId="253E22FF" w:rsidR="0075272E" w:rsidRDefault="0075272E" w:rsidP="00F8415E">
      <w:pPr>
        <w:keepNext/>
        <w:tabs>
          <w:tab w:val="center" w:pos="4678"/>
        </w:tabs>
        <w:jc w:val="center"/>
        <w:rPr>
          <w:rFonts w:ascii="Bookman Old Style" w:hAnsi="Bookman Old Style"/>
          <w:b/>
        </w:rPr>
      </w:pPr>
      <w:r w:rsidRPr="00E30F97">
        <w:rPr>
          <w:rFonts w:ascii="Bookman Old Style" w:hAnsi="Bookman Old Style"/>
          <w:b/>
        </w:rPr>
        <w:t>RESUELVE:</w:t>
      </w:r>
    </w:p>
    <w:p w14:paraId="47CB5437" w14:textId="77777777" w:rsidR="0075272E" w:rsidRDefault="0075272E" w:rsidP="0075272E">
      <w:pPr>
        <w:ind w:left="142"/>
        <w:jc w:val="both"/>
        <w:rPr>
          <w:rFonts w:ascii="Bookman Old Style" w:hAnsi="Bookman Old Style"/>
        </w:rPr>
      </w:pPr>
    </w:p>
    <w:p w14:paraId="5E6A8D5B" w14:textId="0F261071" w:rsidR="0075272E" w:rsidRDefault="0075272E" w:rsidP="0075272E">
      <w:pPr>
        <w:numPr>
          <w:ilvl w:val="0"/>
          <w:numId w:val="7"/>
        </w:numPr>
        <w:tabs>
          <w:tab w:val="left" w:pos="1701"/>
          <w:tab w:val="num" w:pos="2150"/>
        </w:tabs>
        <w:spacing w:before="240" w:after="240"/>
        <w:ind w:left="142"/>
        <w:jc w:val="both"/>
        <w:rPr>
          <w:rFonts w:ascii="Bookman Old Style" w:hAnsi="Bookman Old Style" w:cs="Arial"/>
        </w:rPr>
      </w:pPr>
      <w:bookmarkStart w:id="2" w:name="_Ref98939094"/>
      <w:r w:rsidRPr="00527E4B">
        <w:rPr>
          <w:rFonts w:ascii="Bookman Old Style" w:hAnsi="Bookman Old Style" w:cs="Arial"/>
          <w:b/>
          <w:bCs/>
        </w:rPr>
        <w:t>Ámbito de aplicación.</w:t>
      </w:r>
      <w:r w:rsidRPr="00527E4B">
        <w:rPr>
          <w:rFonts w:ascii="Bookman Old Style" w:hAnsi="Bookman Old Style" w:cs="Arial"/>
        </w:rPr>
        <w:t xml:space="preserve"> Las disposiciones establecidas en esta resolución aplican</w:t>
      </w:r>
      <w:r>
        <w:rPr>
          <w:rFonts w:ascii="Bookman Old Style" w:hAnsi="Bookman Old Style" w:cs="Arial"/>
        </w:rPr>
        <w:t xml:space="preserve"> </w:t>
      </w:r>
      <w:r w:rsidRPr="00527E4B">
        <w:rPr>
          <w:rFonts w:ascii="Bookman Old Style" w:hAnsi="Bookman Old Style" w:cs="Arial"/>
        </w:rPr>
        <w:t xml:space="preserve">a </w:t>
      </w:r>
      <w:r>
        <w:rPr>
          <w:rFonts w:ascii="Bookman Old Style" w:hAnsi="Bookman Old Style" w:cs="Arial"/>
        </w:rPr>
        <w:t>plantas menores y a agentes</w:t>
      </w:r>
      <w:r w:rsidRPr="00527E4B">
        <w:rPr>
          <w:rFonts w:ascii="Bookman Old Style" w:hAnsi="Bookman Old Style" w:cs="Arial"/>
        </w:rPr>
        <w:t xml:space="preserve"> autogeneradores</w:t>
      </w:r>
      <w:r>
        <w:rPr>
          <w:rFonts w:ascii="Bookman Old Style" w:hAnsi="Bookman Old Style" w:cs="Arial"/>
        </w:rPr>
        <w:t>, cogeneradores, con y sin entrega de excedentes</w:t>
      </w:r>
      <w:r w:rsidDel="00A33908">
        <w:rPr>
          <w:rFonts w:ascii="Bookman Old Style" w:hAnsi="Bookman Old Style" w:cs="Arial"/>
        </w:rPr>
        <w:t>,</w:t>
      </w:r>
      <w:r>
        <w:rPr>
          <w:rFonts w:ascii="Bookman Old Style" w:hAnsi="Bookman Old Style" w:cs="Arial"/>
        </w:rPr>
        <w:t xml:space="preserve"> </w:t>
      </w:r>
      <w:r w:rsidRPr="00527E4B">
        <w:rPr>
          <w:rFonts w:ascii="Bookman Old Style" w:hAnsi="Bookman Old Style" w:cs="Arial"/>
        </w:rPr>
        <w:t xml:space="preserve">que </w:t>
      </w:r>
      <w:r>
        <w:rPr>
          <w:rFonts w:ascii="Bookman Old Style" w:hAnsi="Bookman Old Style" w:cs="Arial"/>
        </w:rPr>
        <w:t xml:space="preserve">cumplan las siguientes condiciones: i) </w:t>
      </w:r>
      <w:r w:rsidRPr="00527E4B">
        <w:rPr>
          <w:rFonts w:ascii="Bookman Old Style" w:hAnsi="Bookman Old Style" w:cs="Arial"/>
        </w:rPr>
        <w:t xml:space="preserve">se encuentren conectados al </w:t>
      </w:r>
      <w:r>
        <w:rPr>
          <w:rFonts w:ascii="Bookman Old Style" w:hAnsi="Bookman Old Style" w:cs="Arial"/>
        </w:rPr>
        <w:t xml:space="preserve">Sistema Interconectado Nacional, </w:t>
      </w:r>
      <w:r w:rsidRPr="00527E4B">
        <w:rPr>
          <w:rFonts w:ascii="Bookman Old Style" w:hAnsi="Bookman Old Style" w:cs="Arial"/>
        </w:rPr>
        <w:t>SIN</w:t>
      </w:r>
      <w:r>
        <w:rPr>
          <w:rFonts w:ascii="Bookman Old Style" w:hAnsi="Bookman Old Style" w:cs="Arial"/>
        </w:rPr>
        <w:t>;</w:t>
      </w:r>
      <w:r w:rsidRPr="00527E4B">
        <w:rPr>
          <w:rFonts w:ascii="Bookman Old Style" w:hAnsi="Bookman Old Style" w:cs="Arial"/>
        </w:rPr>
        <w:t xml:space="preserve"> </w:t>
      </w:r>
      <w:r>
        <w:rPr>
          <w:rFonts w:ascii="Bookman Old Style" w:hAnsi="Bookman Old Style" w:cs="Arial"/>
        </w:rPr>
        <w:t xml:space="preserve">ii) tengan capacidad instalada superior a 1 MW; y iii) </w:t>
      </w:r>
      <w:r w:rsidRPr="00527E4B">
        <w:rPr>
          <w:rFonts w:ascii="Bookman Old Style" w:hAnsi="Bookman Old Style" w:cs="Arial"/>
        </w:rPr>
        <w:t xml:space="preserve">durante la ventana de aplicación que se define en el artículo </w:t>
      </w:r>
      <w:r>
        <w:rPr>
          <w:rFonts w:ascii="Bookman Old Style" w:hAnsi="Bookman Old Style" w:cs="Arial"/>
        </w:rPr>
        <w:fldChar w:fldCharType="begin"/>
      </w:r>
      <w:r>
        <w:rPr>
          <w:rFonts w:ascii="Bookman Old Style" w:hAnsi="Bookman Old Style" w:cs="Arial"/>
        </w:rPr>
        <w:instrText xml:space="preserve"> REF _Ref156803203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3</w:t>
      </w:r>
      <w:r>
        <w:rPr>
          <w:rFonts w:ascii="Bookman Old Style" w:hAnsi="Bookman Old Style" w:cs="Arial"/>
        </w:rPr>
        <w:fldChar w:fldCharType="end"/>
      </w:r>
      <w:r>
        <w:rPr>
          <w:rFonts w:ascii="Bookman Old Style" w:hAnsi="Bookman Old Style" w:cs="Arial"/>
        </w:rPr>
        <w:t xml:space="preserve"> de la presente resolución</w:t>
      </w:r>
      <w:r w:rsidRPr="00527E4B">
        <w:rPr>
          <w:rFonts w:ascii="Bookman Old Style" w:hAnsi="Bookman Old Style" w:cs="Arial"/>
        </w:rPr>
        <w:t xml:space="preserve"> </w:t>
      </w:r>
      <w:r>
        <w:rPr>
          <w:rFonts w:ascii="Bookman Old Style" w:hAnsi="Bookman Old Style" w:cs="Arial"/>
        </w:rPr>
        <w:t>puedan entregar excedentes adicionales de generación al SIN</w:t>
      </w:r>
      <w:r w:rsidRPr="00E30F97">
        <w:rPr>
          <w:rFonts w:ascii="Bookman Old Style" w:hAnsi="Bookman Old Style" w:cs="Arial"/>
        </w:rPr>
        <w:t>.</w:t>
      </w:r>
      <w:bookmarkEnd w:id="2"/>
      <w:r w:rsidRPr="00E30F97">
        <w:rPr>
          <w:rFonts w:ascii="Bookman Old Style" w:hAnsi="Bookman Old Style" w:cs="Arial"/>
        </w:rPr>
        <w:t xml:space="preserve"> </w:t>
      </w:r>
    </w:p>
    <w:p w14:paraId="38BDD1EC" w14:textId="77777777" w:rsidR="0075272E" w:rsidRPr="00E30F97" w:rsidRDefault="0075272E" w:rsidP="0075272E">
      <w:pPr>
        <w:tabs>
          <w:tab w:val="left" w:pos="1701"/>
          <w:tab w:val="num" w:pos="2150"/>
        </w:tabs>
        <w:spacing w:before="240" w:after="240"/>
        <w:ind w:left="142"/>
        <w:jc w:val="both"/>
        <w:rPr>
          <w:rFonts w:ascii="Bookman Old Style" w:hAnsi="Bookman Old Style" w:cs="Arial"/>
        </w:rPr>
      </w:pPr>
      <w:r>
        <w:rPr>
          <w:rFonts w:ascii="Bookman Old Style" w:hAnsi="Bookman Old Style" w:cs="Arial"/>
          <w:b/>
          <w:bCs/>
        </w:rPr>
        <w:t>Parágrafo:</w:t>
      </w:r>
      <w:r>
        <w:rPr>
          <w:rFonts w:ascii="Bookman Old Style" w:hAnsi="Bookman Old Style" w:cs="Arial"/>
        </w:rPr>
        <w:t xml:space="preserve"> Las disposiciones establecidas en esta resolución solo deberán ser aplicadas para el cumplimiento de su objetivo y, por lo tanto, no interrumpen ni suspenden la aplicación de la regulación vigente, la cual deberá continuar empleándose para las situaciones normales.</w:t>
      </w:r>
    </w:p>
    <w:p w14:paraId="652B19DB" w14:textId="77777777" w:rsidR="0075272E" w:rsidRPr="00B40F12" w:rsidRDefault="0075272E" w:rsidP="0075272E">
      <w:pPr>
        <w:numPr>
          <w:ilvl w:val="0"/>
          <w:numId w:val="7"/>
        </w:numPr>
        <w:tabs>
          <w:tab w:val="left" w:pos="1701"/>
          <w:tab w:val="num" w:pos="2150"/>
        </w:tabs>
        <w:spacing w:before="240" w:after="240"/>
        <w:ind w:left="142"/>
        <w:jc w:val="both"/>
        <w:rPr>
          <w:rFonts w:ascii="Bookman Old Style" w:hAnsi="Bookman Old Style" w:cs="Arial"/>
        </w:rPr>
      </w:pPr>
      <w:bookmarkStart w:id="3" w:name="_Ref153387703"/>
      <w:bookmarkStart w:id="4" w:name="_Ref98939096"/>
      <w:r w:rsidRPr="00B40F12">
        <w:rPr>
          <w:rFonts w:ascii="Bookman Old Style" w:hAnsi="Bookman Old Style" w:cs="Arial"/>
          <w:b/>
        </w:rPr>
        <w:t>Objetivo.</w:t>
      </w:r>
      <w:r>
        <w:rPr>
          <w:rFonts w:ascii="Bookman Old Style" w:hAnsi="Bookman Old Style" w:cs="Arial"/>
        </w:rPr>
        <w:t xml:space="preserve"> Facilitar la entrega de excedentes de generación al SIN ante la ocurrencia del fenómeno de El Niño, mediante la flexibilización temporal de las exigencias regulatorias requeridas para esta entrega.</w:t>
      </w:r>
    </w:p>
    <w:p w14:paraId="418BDF91" w14:textId="77777777" w:rsidR="0075272E" w:rsidRDefault="0075272E" w:rsidP="0075272E">
      <w:pPr>
        <w:numPr>
          <w:ilvl w:val="0"/>
          <w:numId w:val="7"/>
        </w:numPr>
        <w:tabs>
          <w:tab w:val="left" w:pos="1701"/>
          <w:tab w:val="num" w:pos="2150"/>
        </w:tabs>
        <w:spacing w:before="240" w:after="240"/>
        <w:ind w:left="142"/>
        <w:jc w:val="both"/>
        <w:rPr>
          <w:rFonts w:ascii="Bookman Old Style" w:hAnsi="Bookman Old Style" w:cs="Arial"/>
        </w:rPr>
      </w:pPr>
      <w:bookmarkStart w:id="5" w:name="_Ref156803203"/>
      <w:r w:rsidRPr="00792F2D">
        <w:rPr>
          <w:rFonts w:ascii="Bookman Old Style" w:hAnsi="Bookman Old Style" w:cs="Arial"/>
          <w:b/>
          <w:bCs/>
        </w:rPr>
        <w:t>Ventana de aplicación.</w:t>
      </w:r>
      <w:r w:rsidRPr="00527E4B">
        <w:rPr>
          <w:rFonts w:ascii="Bookman Old Style" w:hAnsi="Bookman Old Style" w:cs="Arial"/>
        </w:rPr>
        <w:t xml:space="preserve"> La ventana de aplicación </w:t>
      </w:r>
      <w:r>
        <w:rPr>
          <w:rFonts w:ascii="Bookman Old Style" w:hAnsi="Bookman Old Style" w:cs="Arial"/>
        </w:rPr>
        <w:t xml:space="preserve">de las disposiciones establecidas en esta resolución </w:t>
      </w:r>
      <w:r w:rsidRPr="00527E4B">
        <w:rPr>
          <w:rFonts w:ascii="Bookman Old Style" w:hAnsi="Bookman Old Style" w:cs="Arial"/>
        </w:rPr>
        <w:t xml:space="preserve">será </w:t>
      </w:r>
      <w:r>
        <w:rPr>
          <w:rFonts w:ascii="Bookman Old Style" w:hAnsi="Bookman Old Style" w:cs="Arial"/>
        </w:rPr>
        <w:t>de seis (6) meses contados a partir de la fecha de entrada en vigencia de esta resolución</w:t>
      </w:r>
      <w:r w:rsidRPr="00527E4B">
        <w:rPr>
          <w:rFonts w:ascii="Bookman Old Style" w:hAnsi="Bookman Old Style" w:cs="Arial"/>
        </w:rPr>
        <w:t xml:space="preserve">. Esta ventana podrá ser </w:t>
      </w:r>
      <w:r>
        <w:rPr>
          <w:rFonts w:ascii="Bookman Old Style" w:hAnsi="Bookman Old Style" w:cs="Arial"/>
        </w:rPr>
        <w:t>acortada o prorrogada</w:t>
      </w:r>
      <w:r w:rsidRPr="00527E4B">
        <w:rPr>
          <w:rFonts w:ascii="Bookman Old Style" w:hAnsi="Bookman Old Style" w:cs="Arial"/>
        </w:rPr>
        <w:t xml:space="preserve"> </w:t>
      </w:r>
      <w:r w:rsidRPr="29710739">
        <w:rPr>
          <w:rFonts w:ascii="Bookman Old Style" w:hAnsi="Bookman Old Style" w:cs="Arial"/>
        </w:rPr>
        <w:t>y</w:t>
      </w:r>
      <w:r w:rsidRPr="485A7D51">
        <w:rPr>
          <w:rFonts w:ascii="Bookman Old Style" w:hAnsi="Bookman Old Style" w:cs="Arial"/>
        </w:rPr>
        <w:t xml:space="preserve"> </w:t>
      </w:r>
      <w:r>
        <w:rPr>
          <w:rFonts w:ascii="Bookman Old Style" w:hAnsi="Bookman Old Style" w:cs="Arial"/>
        </w:rPr>
        <w:t>la CREG</w:t>
      </w:r>
      <w:r w:rsidRPr="485A7D51">
        <w:rPr>
          <w:rFonts w:ascii="Bookman Old Style" w:hAnsi="Bookman Old Style" w:cs="Arial"/>
        </w:rPr>
        <w:t xml:space="preserve"> estar</w:t>
      </w:r>
      <w:r>
        <w:rPr>
          <w:rFonts w:ascii="Bookman Old Style" w:hAnsi="Bookman Old Style" w:cs="Arial"/>
        </w:rPr>
        <w:t>á</w:t>
      </w:r>
      <w:r w:rsidRPr="485A7D51">
        <w:rPr>
          <w:rFonts w:ascii="Bookman Old Style" w:hAnsi="Bookman Old Style" w:cs="Arial"/>
        </w:rPr>
        <w:t xml:space="preserve"> obligada</w:t>
      </w:r>
      <w:r>
        <w:rPr>
          <w:rFonts w:ascii="Bookman Old Style" w:hAnsi="Bookman Old Style" w:cs="Arial"/>
        </w:rPr>
        <w:t>,</w:t>
      </w:r>
      <w:r w:rsidRPr="485A7D51">
        <w:rPr>
          <w:rFonts w:ascii="Bookman Old Style" w:hAnsi="Bookman Old Style" w:cs="Arial"/>
        </w:rPr>
        <w:t xml:space="preserve"> </w:t>
      </w:r>
      <w:r w:rsidRPr="00527E4B">
        <w:rPr>
          <w:rFonts w:ascii="Bookman Old Style" w:hAnsi="Bookman Old Style" w:cs="Arial"/>
        </w:rPr>
        <w:t>mediante resolución</w:t>
      </w:r>
      <w:r>
        <w:rPr>
          <w:rFonts w:ascii="Bookman Old Style" w:hAnsi="Bookman Old Style" w:cs="Arial"/>
        </w:rPr>
        <w:t>,</w:t>
      </w:r>
      <w:r w:rsidRPr="485A7D51">
        <w:rPr>
          <w:rFonts w:ascii="Bookman Old Style" w:hAnsi="Bookman Old Style" w:cs="Arial"/>
        </w:rPr>
        <w:t xml:space="preserve"> </w:t>
      </w:r>
      <w:r w:rsidRPr="797ED953">
        <w:rPr>
          <w:rFonts w:ascii="Bookman Old Style" w:hAnsi="Bookman Old Style" w:cs="Arial"/>
        </w:rPr>
        <w:t xml:space="preserve">a </w:t>
      </w:r>
      <w:r w:rsidRPr="142D4477">
        <w:rPr>
          <w:rFonts w:ascii="Bookman Old Style" w:hAnsi="Bookman Old Style" w:cs="Arial"/>
        </w:rPr>
        <w:t>levantarla</w:t>
      </w:r>
      <w:r w:rsidRPr="00527E4B">
        <w:rPr>
          <w:rFonts w:ascii="Bookman Old Style" w:hAnsi="Bookman Old Style" w:cs="Arial"/>
        </w:rPr>
        <w:t xml:space="preserve"> </w:t>
      </w:r>
      <w:r>
        <w:rPr>
          <w:rFonts w:ascii="Bookman Old Style" w:hAnsi="Bookman Old Style"/>
        </w:rPr>
        <w:t xml:space="preserve">en cumplimiento de lo establecido en el artículo 2.2.3.2.1.4 del Decreto 1073 de 2015, </w:t>
      </w:r>
      <w:r w:rsidRPr="00527E4B">
        <w:rPr>
          <w:rFonts w:ascii="Bookman Old Style" w:hAnsi="Bookman Old Style" w:cs="Arial"/>
        </w:rPr>
        <w:t xml:space="preserve">si la entidad competente informa que el periodo de ocurrencia del fenómeno de El Niño </w:t>
      </w:r>
      <w:r>
        <w:rPr>
          <w:rFonts w:ascii="Bookman Old Style" w:hAnsi="Bookman Old Style" w:cs="Arial"/>
        </w:rPr>
        <w:t>cambia</w:t>
      </w:r>
      <w:r w:rsidRPr="00527E4B">
        <w:rPr>
          <w:rFonts w:ascii="Bookman Old Style" w:hAnsi="Bookman Old Style" w:cs="Arial"/>
        </w:rPr>
        <w:t xml:space="preserve"> </w:t>
      </w:r>
      <w:r>
        <w:rPr>
          <w:rFonts w:ascii="Bookman Old Style" w:hAnsi="Bookman Old Style" w:cs="Arial"/>
        </w:rPr>
        <w:t>la duración inicialmente prevista</w:t>
      </w:r>
      <w:r w:rsidRPr="00527E4B">
        <w:rPr>
          <w:rFonts w:ascii="Bookman Old Style" w:hAnsi="Bookman Old Style" w:cs="Arial"/>
        </w:rPr>
        <w:t>.</w:t>
      </w:r>
      <w:bookmarkEnd w:id="3"/>
      <w:bookmarkEnd w:id="5"/>
    </w:p>
    <w:p w14:paraId="2E0CA4EE" w14:textId="3007BF70" w:rsidR="0075272E" w:rsidRPr="00792F2D" w:rsidRDefault="0075272E" w:rsidP="0075272E">
      <w:pPr>
        <w:numPr>
          <w:ilvl w:val="0"/>
          <w:numId w:val="7"/>
        </w:numPr>
        <w:tabs>
          <w:tab w:val="left" w:pos="1701"/>
          <w:tab w:val="num" w:pos="2150"/>
        </w:tabs>
        <w:spacing w:before="240" w:after="240"/>
        <w:ind w:left="142"/>
        <w:jc w:val="both"/>
        <w:rPr>
          <w:rFonts w:ascii="Bookman Old Style" w:hAnsi="Bookman Old Style" w:cs="Arial"/>
        </w:rPr>
      </w:pPr>
      <w:r w:rsidRPr="00E76F3B">
        <w:rPr>
          <w:rFonts w:ascii="Bookman Old Style" w:hAnsi="Bookman Old Style" w:cs="Arial"/>
          <w:b/>
        </w:rPr>
        <w:t xml:space="preserve">Participación de </w:t>
      </w:r>
      <w:r>
        <w:rPr>
          <w:rFonts w:ascii="Bookman Old Style" w:hAnsi="Bookman Old Style" w:cs="Arial"/>
          <w:b/>
          <w:bCs/>
        </w:rPr>
        <w:t xml:space="preserve">agentes con </w:t>
      </w:r>
      <w:r w:rsidRPr="00E76F3B">
        <w:rPr>
          <w:rFonts w:ascii="Bookman Old Style" w:hAnsi="Bookman Old Style" w:cs="Arial"/>
          <w:b/>
        </w:rPr>
        <w:t xml:space="preserve">energía excedentaria. </w:t>
      </w:r>
      <w:r>
        <w:rPr>
          <w:rFonts w:ascii="Bookman Old Style" w:hAnsi="Bookman Old Style" w:cs="Arial"/>
        </w:rPr>
        <w:t>C</w:t>
      </w:r>
      <w:r w:rsidRPr="002F46AB">
        <w:rPr>
          <w:rFonts w:ascii="Bookman Old Style" w:hAnsi="Bookman Old Style" w:cs="Arial"/>
        </w:rPr>
        <w:t xml:space="preserve">on el único propósito de aumentar la disponibilidad de energía eléctrica en el SIN, </w:t>
      </w:r>
      <w:r>
        <w:rPr>
          <w:rFonts w:ascii="Bookman Old Style" w:hAnsi="Bookman Old Style" w:cs="Arial"/>
        </w:rPr>
        <w:t xml:space="preserve">los agentes cubiertos por el ámbito de aplicación de que trata el artículo </w:t>
      </w:r>
      <w:r>
        <w:rPr>
          <w:rFonts w:ascii="Bookman Old Style" w:hAnsi="Bookman Old Style" w:cs="Arial"/>
        </w:rPr>
        <w:fldChar w:fldCharType="begin"/>
      </w:r>
      <w:r>
        <w:rPr>
          <w:rFonts w:ascii="Bookman Old Style" w:hAnsi="Bookman Old Style" w:cs="Arial"/>
        </w:rPr>
        <w:instrText xml:space="preserve"> REF _Ref98939094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1</w:t>
      </w:r>
      <w:r>
        <w:rPr>
          <w:rFonts w:ascii="Bookman Old Style" w:hAnsi="Bookman Old Style" w:cs="Arial"/>
        </w:rPr>
        <w:fldChar w:fldCharType="end"/>
      </w:r>
      <w:r>
        <w:rPr>
          <w:rFonts w:ascii="Bookman Old Style" w:hAnsi="Bookman Old Style" w:cs="Arial"/>
        </w:rPr>
        <w:t xml:space="preserve"> de la presente resolución </w:t>
      </w:r>
      <w:r w:rsidRPr="002F46AB">
        <w:rPr>
          <w:rFonts w:ascii="Bookman Old Style" w:hAnsi="Bookman Old Style" w:cs="Arial"/>
        </w:rPr>
        <w:t xml:space="preserve">podrán declarar su disponibilidad excedentaria, entendida como aquella capacidad </w:t>
      </w:r>
      <w:r>
        <w:rPr>
          <w:rFonts w:ascii="Bookman Old Style" w:hAnsi="Bookman Old Style" w:cs="Arial"/>
        </w:rPr>
        <w:t>efectiva neta o potencia máxima declarada, según corresponda,</w:t>
      </w:r>
      <w:r w:rsidRPr="002F46AB">
        <w:rPr>
          <w:rFonts w:ascii="Bookman Old Style" w:hAnsi="Bookman Old Style" w:cs="Arial"/>
        </w:rPr>
        <w:t xml:space="preserve"> </w:t>
      </w:r>
      <w:r>
        <w:rPr>
          <w:rFonts w:ascii="Bookman Old Style" w:hAnsi="Bookman Old Style" w:cs="Arial"/>
        </w:rPr>
        <w:t>nueva o adicional a la</w:t>
      </w:r>
      <w:r w:rsidRPr="002F46AB">
        <w:rPr>
          <w:rFonts w:ascii="Bookman Old Style" w:hAnsi="Bookman Old Style" w:cs="Arial"/>
        </w:rPr>
        <w:t xml:space="preserve"> registrada en el Mercado de Energía Mayorista</w:t>
      </w:r>
      <w:r>
        <w:rPr>
          <w:rFonts w:ascii="Bookman Old Style" w:hAnsi="Bookman Old Style" w:cs="Arial"/>
        </w:rPr>
        <w:t>,</w:t>
      </w:r>
      <w:r w:rsidRPr="002F46AB">
        <w:rPr>
          <w:rFonts w:ascii="Bookman Old Style" w:hAnsi="Bookman Old Style" w:cs="Arial"/>
        </w:rPr>
        <w:t xml:space="preserve"> MEM, </w:t>
      </w:r>
      <w:r>
        <w:rPr>
          <w:rFonts w:ascii="Bookman Old Style" w:hAnsi="Bookman Old Style" w:cs="Arial"/>
        </w:rPr>
        <w:t xml:space="preserve">para </w:t>
      </w:r>
      <w:r w:rsidRPr="002F46AB">
        <w:rPr>
          <w:rFonts w:ascii="Bookman Old Style" w:hAnsi="Bookman Old Style" w:cs="Arial"/>
        </w:rPr>
        <w:t>entrega</w:t>
      </w:r>
      <w:r>
        <w:rPr>
          <w:rFonts w:ascii="Bookman Old Style" w:hAnsi="Bookman Old Style" w:cs="Arial"/>
        </w:rPr>
        <w:t>r energía</w:t>
      </w:r>
      <w:r w:rsidRPr="002F46AB">
        <w:rPr>
          <w:rFonts w:ascii="Bookman Old Style" w:hAnsi="Bookman Old Style" w:cs="Arial"/>
        </w:rPr>
        <w:t xml:space="preserve"> según </w:t>
      </w:r>
      <w:r>
        <w:rPr>
          <w:rFonts w:ascii="Bookman Old Style" w:hAnsi="Bookman Old Style" w:cs="Arial"/>
        </w:rPr>
        <w:t xml:space="preserve">la </w:t>
      </w:r>
      <w:r w:rsidRPr="002F46AB">
        <w:rPr>
          <w:rFonts w:ascii="Bookman Old Style" w:hAnsi="Bookman Old Style" w:cs="Arial"/>
        </w:rPr>
        <w:t>reglamentación vigente para las plantas no despachadas centralmente.</w:t>
      </w:r>
    </w:p>
    <w:p w14:paraId="361FFD7A" w14:textId="45A21069" w:rsidR="0075272E" w:rsidRPr="00792F2D" w:rsidRDefault="0075272E" w:rsidP="0075272E">
      <w:pPr>
        <w:tabs>
          <w:tab w:val="left" w:pos="1701"/>
          <w:tab w:val="num" w:pos="2150"/>
        </w:tabs>
        <w:spacing w:before="240" w:after="240"/>
        <w:ind w:left="142"/>
        <w:jc w:val="both"/>
        <w:rPr>
          <w:rFonts w:ascii="Bookman Old Style" w:hAnsi="Bookman Old Style" w:cs="Arial"/>
        </w:rPr>
      </w:pPr>
      <w:r w:rsidRPr="00A304F2">
        <w:rPr>
          <w:rFonts w:ascii="Bookman Old Style" w:hAnsi="Bookman Old Style" w:cs="Arial"/>
          <w:b/>
          <w:bCs/>
        </w:rPr>
        <w:t xml:space="preserve">Parágrafo </w:t>
      </w:r>
      <w:r>
        <w:rPr>
          <w:rFonts w:ascii="Bookman Old Style" w:hAnsi="Bookman Old Style" w:cs="Arial"/>
          <w:b/>
          <w:bCs/>
        </w:rPr>
        <w:t>1.</w:t>
      </w:r>
      <w:r>
        <w:rPr>
          <w:rFonts w:ascii="Bookman Old Style" w:hAnsi="Bookman Old Style" w:cs="Arial"/>
        </w:rPr>
        <w:t xml:space="preserve"> Durante la ventana de aplicación de que trata el artículo </w:t>
      </w:r>
      <w:r>
        <w:rPr>
          <w:rFonts w:ascii="Bookman Old Style" w:hAnsi="Bookman Old Style" w:cs="Arial"/>
        </w:rPr>
        <w:fldChar w:fldCharType="begin"/>
      </w:r>
      <w:r>
        <w:rPr>
          <w:rFonts w:ascii="Bookman Old Style" w:hAnsi="Bookman Old Style" w:cs="Arial"/>
        </w:rPr>
        <w:instrText xml:space="preserve"> REF _Ref156803203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3</w:t>
      </w:r>
      <w:r>
        <w:rPr>
          <w:rFonts w:ascii="Bookman Old Style" w:hAnsi="Bookman Old Style" w:cs="Arial"/>
        </w:rPr>
        <w:fldChar w:fldCharType="end"/>
      </w:r>
      <w:r>
        <w:rPr>
          <w:rFonts w:ascii="Bookman Old Style" w:hAnsi="Bookman Old Style" w:cs="Arial"/>
        </w:rPr>
        <w:t xml:space="preserve"> de la presente resolución, a los agentes que participen en la entrega de energía excedentaria de</w:t>
      </w:r>
      <w:r w:rsidRPr="006A1642">
        <w:rPr>
          <w:rFonts w:ascii="Bookman Old Style" w:hAnsi="Bookman Old Style" w:cs="Arial"/>
        </w:rPr>
        <w:t xml:space="preserve"> que trata e</w:t>
      </w:r>
      <w:r>
        <w:rPr>
          <w:rFonts w:ascii="Bookman Old Style" w:hAnsi="Bookman Old Style" w:cs="Arial"/>
        </w:rPr>
        <w:t>l</w:t>
      </w:r>
      <w:r w:rsidRPr="006A1642">
        <w:rPr>
          <w:rFonts w:ascii="Bookman Old Style" w:hAnsi="Bookman Old Style" w:cs="Arial"/>
        </w:rPr>
        <w:t xml:space="preserve"> presente artículo no les aplicarán </w:t>
      </w:r>
      <w:r>
        <w:rPr>
          <w:rFonts w:ascii="Bookman Old Style" w:hAnsi="Bookman Old Style" w:cs="Arial"/>
        </w:rPr>
        <w:t>l</w:t>
      </w:r>
      <w:r w:rsidRPr="00A304F2">
        <w:rPr>
          <w:rFonts w:ascii="Bookman Old Style" w:hAnsi="Bookman Old Style" w:cs="Arial"/>
        </w:rPr>
        <w:t xml:space="preserve">as disposiciones del parágrafo del artículo 3 de la </w:t>
      </w:r>
      <w:r>
        <w:rPr>
          <w:rFonts w:ascii="Bookman Old Style" w:hAnsi="Bookman Old Style" w:cs="Arial"/>
        </w:rPr>
        <w:t>R</w:t>
      </w:r>
      <w:r w:rsidRPr="00A304F2">
        <w:rPr>
          <w:rFonts w:ascii="Bookman Old Style" w:hAnsi="Bookman Old Style" w:cs="Arial"/>
        </w:rPr>
        <w:t xml:space="preserve">esolución CREG 086 de 1996 </w:t>
      </w:r>
      <w:r>
        <w:rPr>
          <w:rFonts w:ascii="Bookman Old Style" w:hAnsi="Bookman Old Style" w:cs="Arial"/>
        </w:rPr>
        <w:t>ni</w:t>
      </w:r>
      <w:r w:rsidRPr="00A304F2">
        <w:rPr>
          <w:rFonts w:ascii="Bookman Old Style" w:hAnsi="Bookman Old Style" w:cs="Arial"/>
        </w:rPr>
        <w:t xml:space="preserve"> del artículo 14 de la Resolución CREG 024 de 2015</w:t>
      </w:r>
      <w:r>
        <w:rPr>
          <w:rFonts w:ascii="Bookman Old Style" w:hAnsi="Bookman Old Style" w:cs="Arial"/>
        </w:rPr>
        <w:t>.</w:t>
      </w:r>
    </w:p>
    <w:p w14:paraId="044C01F2" w14:textId="77777777" w:rsidR="0075272E" w:rsidRDefault="0075272E" w:rsidP="0075272E">
      <w:pPr>
        <w:tabs>
          <w:tab w:val="left" w:pos="1701"/>
          <w:tab w:val="num" w:pos="2150"/>
        </w:tabs>
        <w:spacing w:before="240" w:after="240"/>
        <w:ind w:left="142"/>
        <w:jc w:val="both"/>
        <w:rPr>
          <w:rFonts w:ascii="Bookman Old Style" w:hAnsi="Bookman Old Style" w:cs="Arial"/>
        </w:rPr>
      </w:pPr>
      <w:r w:rsidRPr="0047398D">
        <w:rPr>
          <w:rFonts w:ascii="Bookman Old Style" w:hAnsi="Bookman Old Style" w:cs="Arial"/>
          <w:b/>
          <w:bCs/>
        </w:rPr>
        <w:t xml:space="preserve">Parágrafo </w:t>
      </w:r>
      <w:r>
        <w:rPr>
          <w:rFonts w:ascii="Bookman Old Style" w:hAnsi="Bookman Old Style" w:cs="Arial"/>
          <w:b/>
          <w:bCs/>
        </w:rPr>
        <w:t>2.</w:t>
      </w:r>
      <w:r w:rsidRPr="37363A28">
        <w:rPr>
          <w:rFonts w:ascii="Bookman Old Style" w:hAnsi="Bookman Old Style" w:cs="Arial"/>
          <w:b/>
          <w:bCs/>
        </w:rPr>
        <w:t xml:space="preserve"> </w:t>
      </w:r>
      <w:r w:rsidRPr="0047398D">
        <w:rPr>
          <w:rFonts w:ascii="Bookman Old Style" w:hAnsi="Bookman Old Style" w:cs="Arial"/>
        </w:rPr>
        <w:t xml:space="preserve">Los agentes que participen en la entrega de energía excedentaria de que trata el presente artículo deberán informar </w:t>
      </w:r>
      <w:r w:rsidRPr="37363A28">
        <w:rPr>
          <w:rFonts w:ascii="Bookman Old Style" w:hAnsi="Bookman Old Style" w:cs="Arial"/>
        </w:rPr>
        <w:t xml:space="preserve">directamente </w:t>
      </w:r>
      <w:r w:rsidRPr="0047398D">
        <w:rPr>
          <w:rFonts w:ascii="Bookman Old Style" w:hAnsi="Bookman Old Style" w:cs="Arial"/>
        </w:rPr>
        <w:t>al</w:t>
      </w:r>
      <w:r>
        <w:rPr>
          <w:rFonts w:ascii="Bookman Old Style" w:hAnsi="Bookman Old Style" w:cs="Arial"/>
        </w:rPr>
        <w:t xml:space="preserve"> Centro Nacional de Despacho,</w:t>
      </w:r>
      <w:r w:rsidRPr="0047398D">
        <w:rPr>
          <w:rFonts w:ascii="Bookman Old Style" w:hAnsi="Bookman Old Style" w:cs="Arial"/>
        </w:rPr>
        <w:t xml:space="preserve"> CND</w:t>
      </w:r>
      <w:r>
        <w:rPr>
          <w:rFonts w:ascii="Bookman Old Style" w:hAnsi="Bookman Old Style" w:cs="Arial"/>
        </w:rPr>
        <w:t>,</w:t>
      </w:r>
      <w:r w:rsidRPr="0047398D">
        <w:rPr>
          <w:rFonts w:ascii="Bookman Old Style" w:hAnsi="Bookman Old Style" w:cs="Arial"/>
        </w:rPr>
        <w:t xml:space="preserve"> mediante comunicación formal</w:t>
      </w:r>
      <w:r w:rsidRPr="37363A28">
        <w:rPr>
          <w:rFonts w:ascii="Bookman Old Style" w:hAnsi="Bookman Old Style" w:cs="Arial"/>
        </w:rPr>
        <w:t xml:space="preserve"> al correo info</w:t>
      </w:r>
      <w:r w:rsidRPr="65F768E0">
        <w:rPr>
          <w:rFonts w:ascii="Bookman Old Style" w:hAnsi="Bookman Old Style" w:cs="Arial"/>
        </w:rPr>
        <w:t>@</w:t>
      </w:r>
      <w:r w:rsidRPr="4B596F46">
        <w:rPr>
          <w:rFonts w:ascii="Bookman Old Style" w:hAnsi="Bookman Old Style" w:cs="Arial"/>
        </w:rPr>
        <w:t>xm.com.co</w:t>
      </w:r>
      <w:r w:rsidRPr="65F768E0">
        <w:rPr>
          <w:rFonts w:ascii="Bookman Old Style" w:hAnsi="Bookman Old Style" w:cs="Arial"/>
        </w:rPr>
        <w:t>,</w:t>
      </w:r>
      <w:r w:rsidRPr="0047398D">
        <w:rPr>
          <w:rFonts w:ascii="Bookman Old Style" w:hAnsi="Bookman Old Style" w:cs="Arial"/>
        </w:rPr>
        <w:t xml:space="preserve"> </w:t>
      </w:r>
      <w:r w:rsidRPr="5A7185B2">
        <w:rPr>
          <w:rFonts w:ascii="Bookman Old Style" w:hAnsi="Bookman Old Style" w:cs="Arial"/>
        </w:rPr>
        <w:t xml:space="preserve">la </w:t>
      </w:r>
      <w:r w:rsidRPr="4B596F46">
        <w:rPr>
          <w:rFonts w:ascii="Bookman Old Style" w:hAnsi="Bookman Old Style" w:cs="Arial"/>
        </w:rPr>
        <w:t xml:space="preserve">potencia </w:t>
      </w:r>
      <w:r w:rsidRPr="63865ABE">
        <w:rPr>
          <w:rFonts w:ascii="Bookman Old Style" w:hAnsi="Bookman Old Style" w:cs="Arial"/>
        </w:rPr>
        <w:t>máxima declarada</w:t>
      </w:r>
      <w:r w:rsidRPr="167D05C1">
        <w:rPr>
          <w:rFonts w:ascii="Bookman Old Style" w:hAnsi="Bookman Old Style" w:cs="Arial"/>
        </w:rPr>
        <w:t xml:space="preserve"> o capacidad efectiva</w:t>
      </w:r>
      <w:r w:rsidRPr="63865ABE">
        <w:rPr>
          <w:rFonts w:ascii="Bookman Old Style" w:hAnsi="Bookman Old Style" w:cs="Arial"/>
        </w:rPr>
        <w:t xml:space="preserve"> neta</w:t>
      </w:r>
      <w:r w:rsidRPr="024C5472">
        <w:rPr>
          <w:rFonts w:ascii="Bookman Old Style" w:hAnsi="Bookman Old Style" w:cs="Arial"/>
        </w:rPr>
        <w:t>,</w:t>
      </w:r>
      <w:r w:rsidRPr="167D05C1">
        <w:rPr>
          <w:rFonts w:ascii="Bookman Old Style" w:hAnsi="Bookman Old Style" w:cs="Arial"/>
        </w:rPr>
        <w:t xml:space="preserve"> </w:t>
      </w:r>
      <w:r w:rsidRPr="386FF029">
        <w:rPr>
          <w:rFonts w:ascii="Bookman Old Style" w:hAnsi="Bookman Old Style" w:cs="Arial"/>
        </w:rPr>
        <w:t xml:space="preserve">para no </w:t>
      </w:r>
      <w:r w:rsidRPr="553D291F">
        <w:rPr>
          <w:rFonts w:ascii="Bookman Old Style" w:hAnsi="Bookman Old Style" w:cs="Arial"/>
        </w:rPr>
        <w:t xml:space="preserve">ser aplicados los plazos </w:t>
      </w:r>
      <w:r w:rsidRPr="7583D19D">
        <w:rPr>
          <w:rFonts w:ascii="Bookman Old Style" w:hAnsi="Bookman Old Style" w:cs="Arial"/>
        </w:rPr>
        <w:t>que</w:t>
      </w:r>
      <w:r w:rsidRPr="024C5472">
        <w:rPr>
          <w:rFonts w:ascii="Bookman Old Style" w:hAnsi="Bookman Old Style" w:cs="Arial"/>
        </w:rPr>
        <w:t>,</w:t>
      </w:r>
      <w:r w:rsidRPr="7583D19D">
        <w:rPr>
          <w:rFonts w:ascii="Bookman Old Style" w:hAnsi="Bookman Old Style" w:cs="Arial"/>
        </w:rPr>
        <w:t xml:space="preserve"> para tal fin</w:t>
      </w:r>
      <w:r w:rsidRPr="10ACE806">
        <w:rPr>
          <w:rFonts w:ascii="Bookman Old Style" w:hAnsi="Bookman Old Style" w:cs="Arial"/>
        </w:rPr>
        <w:t>,</w:t>
      </w:r>
      <w:r w:rsidRPr="7583D19D">
        <w:rPr>
          <w:rFonts w:ascii="Bookman Old Style" w:hAnsi="Bookman Old Style" w:cs="Arial"/>
        </w:rPr>
        <w:t xml:space="preserve"> se encuentran establecidos en el Acuerdo CNO 1585 de </w:t>
      </w:r>
      <w:r w:rsidRPr="024C5472">
        <w:rPr>
          <w:rFonts w:ascii="Bookman Old Style" w:hAnsi="Bookman Old Style" w:cs="Arial"/>
        </w:rPr>
        <w:t>2022</w:t>
      </w:r>
      <w:r w:rsidRPr="3341EC8A">
        <w:rPr>
          <w:rFonts w:ascii="Bookman Old Style" w:hAnsi="Bookman Old Style" w:cs="Arial"/>
        </w:rPr>
        <w:t xml:space="preserve"> o aquel que lo modifique, adicione o sustituya</w:t>
      </w:r>
      <w:r w:rsidRPr="41AC013B">
        <w:rPr>
          <w:rFonts w:ascii="Bookman Old Style" w:hAnsi="Bookman Old Style" w:cs="Arial"/>
        </w:rPr>
        <w:t xml:space="preserve">. </w:t>
      </w:r>
    </w:p>
    <w:p w14:paraId="72F36578" w14:textId="7550FFC0" w:rsidR="0075272E" w:rsidRDefault="0075272E" w:rsidP="0075272E">
      <w:pPr>
        <w:numPr>
          <w:ilvl w:val="0"/>
          <w:numId w:val="7"/>
        </w:numPr>
        <w:tabs>
          <w:tab w:val="left" w:pos="1701"/>
          <w:tab w:val="num" w:pos="2150"/>
        </w:tabs>
        <w:spacing w:before="240" w:after="240"/>
        <w:ind w:left="142"/>
        <w:jc w:val="both"/>
        <w:rPr>
          <w:rFonts w:ascii="Bookman Old Style" w:hAnsi="Bookman Old Style" w:cs="Arial"/>
        </w:rPr>
      </w:pPr>
      <w:r>
        <w:rPr>
          <w:rFonts w:ascii="Bookman Old Style" w:hAnsi="Bookman Old Style" w:cs="Arial"/>
          <w:b/>
          <w:bCs/>
        </w:rPr>
        <w:t>Modificación de la capacidad de transporte.</w:t>
      </w:r>
      <w:r w:rsidRPr="002966E0">
        <w:rPr>
          <w:rFonts w:ascii="Bookman Old Style" w:hAnsi="Bookman Old Style" w:cs="Arial"/>
        </w:rPr>
        <w:t xml:space="preserve"> Los agentes</w:t>
      </w:r>
      <w:r>
        <w:rPr>
          <w:rFonts w:ascii="Bookman Old Style" w:hAnsi="Bookman Old Style" w:cs="Arial"/>
        </w:rPr>
        <w:t xml:space="preserve"> cubiertos por el ámbito de aplicación de que trata el artículo </w:t>
      </w:r>
      <w:r>
        <w:rPr>
          <w:rFonts w:ascii="Bookman Old Style" w:hAnsi="Bookman Old Style" w:cs="Arial"/>
        </w:rPr>
        <w:fldChar w:fldCharType="begin"/>
      </w:r>
      <w:r>
        <w:rPr>
          <w:rFonts w:ascii="Bookman Old Style" w:hAnsi="Bookman Old Style" w:cs="Arial"/>
        </w:rPr>
        <w:instrText xml:space="preserve"> REF _Ref98939094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1</w:t>
      </w:r>
      <w:r>
        <w:rPr>
          <w:rFonts w:ascii="Bookman Old Style" w:hAnsi="Bookman Old Style" w:cs="Arial"/>
        </w:rPr>
        <w:fldChar w:fldCharType="end"/>
      </w:r>
      <w:r>
        <w:rPr>
          <w:rFonts w:ascii="Bookman Old Style" w:hAnsi="Bookman Old Style" w:cs="Arial"/>
        </w:rPr>
        <w:t xml:space="preserve"> de la presente </w:t>
      </w:r>
      <w:r>
        <w:rPr>
          <w:rFonts w:ascii="Bookman Old Style" w:hAnsi="Bookman Old Style" w:cs="Arial"/>
        </w:rPr>
        <w:lastRenderedPageBreak/>
        <w:t xml:space="preserve">resolución, que estén </w:t>
      </w:r>
      <w:bookmarkStart w:id="6" w:name="_Hlk156233911"/>
      <w:r>
        <w:rPr>
          <w:rFonts w:ascii="Bookman Old Style" w:hAnsi="Bookman Old Style" w:cs="Arial"/>
        </w:rPr>
        <w:t>interesados</w:t>
      </w:r>
      <w:r w:rsidRPr="002966E0">
        <w:rPr>
          <w:rFonts w:ascii="Bookman Old Style" w:hAnsi="Bookman Old Style" w:cs="Arial"/>
        </w:rPr>
        <w:t xml:space="preserve"> en</w:t>
      </w:r>
      <w:r>
        <w:rPr>
          <w:rFonts w:ascii="Bookman Old Style" w:hAnsi="Bookman Old Style" w:cs="Arial"/>
        </w:rPr>
        <w:t>,</w:t>
      </w:r>
      <w:r w:rsidRPr="002966E0">
        <w:rPr>
          <w:rFonts w:ascii="Bookman Old Style" w:hAnsi="Bookman Old Style" w:cs="Arial"/>
        </w:rPr>
        <w:t xml:space="preserve"> </w:t>
      </w:r>
      <w:r>
        <w:rPr>
          <w:rFonts w:ascii="Bookman Old Style" w:hAnsi="Bookman Old Style" w:cs="Arial"/>
        </w:rPr>
        <w:t>temporalmente, entregar</w:t>
      </w:r>
      <w:r w:rsidRPr="002966E0">
        <w:rPr>
          <w:rFonts w:ascii="Bookman Old Style" w:hAnsi="Bookman Old Style" w:cs="Arial"/>
        </w:rPr>
        <w:t xml:space="preserve"> excedentes</w:t>
      </w:r>
      <w:r>
        <w:rPr>
          <w:rFonts w:ascii="Bookman Old Style" w:hAnsi="Bookman Old Style" w:cs="Arial"/>
        </w:rPr>
        <w:t xml:space="preserve"> adicionales</w:t>
      </w:r>
      <w:r w:rsidRPr="002966E0">
        <w:rPr>
          <w:rFonts w:ascii="Bookman Old Style" w:hAnsi="Bookman Old Style" w:cs="Arial"/>
        </w:rPr>
        <w:t xml:space="preserve"> de </w:t>
      </w:r>
      <w:r>
        <w:rPr>
          <w:rFonts w:ascii="Bookman Old Style" w:hAnsi="Bookman Old Style" w:cs="Arial"/>
        </w:rPr>
        <w:t>generación</w:t>
      </w:r>
      <w:bookmarkEnd w:id="6"/>
      <w:r>
        <w:rPr>
          <w:rFonts w:ascii="Bookman Old Style" w:hAnsi="Bookman Old Style" w:cs="Arial"/>
        </w:rPr>
        <w:t xml:space="preserve">, deberán solicitar la ampliación de la capacidad de transporte que tengan asignada. </w:t>
      </w:r>
    </w:p>
    <w:p w14:paraId="7E88B483" w14:textId="77777777" w:rsidR="0075272E" w:rsidRDefault="0075272E" w:rsidP="0075272E">
      <w:pPr>
        <w:tabs>
          <w:tab w:val="left" w:pos="1701"/>
          <w:tab w:val="num" w:pos="2150"/>
        </w:tabs>
        <w:spacing w:before="240" w:after="240"/>
        <w:ind w:left="142"/>
        <w:jc w:val="both"/>
        <w:rPr>
          <w:rFonts w:ascii="Bookman Old Style" w:hAnsi="Bookman Old Style" w:cs="Arial"/>
        </w:rPr>
      </w:pPr>
      <w:r>
        <w:rPr>
          <w:rFonts w:ascii="Bookman Old Style" w:hAnsi="Bookman Old Style" w:cs="Arial"/>
        </w:rPr>
        <w:t>Esta solicitud deberá hacerse a la UPME, con excepción de los autogeneradores con potencia máxima a declarar menor a 5 MW, quienes deberán hacer la solicitud al Operador de Red, OR.</w:t>
      </w:r>
    </w:p>
    <w:p w14:paraId="5D81F29C" w14:textId="5443C3BC" w:rsidR="0075272E" w:rsidRPr="00E30F97" w:rsidRDefault="0075272E" w:rsidP="0075272E">
      <w:pPr>
        <w:tabs>
          <w:tab w:val="left" w:pos="1701"/>
          <w:tab w:val="num" w:pos="2150"/>
        </w:tabs>
        <w:spacing w:before="240" w:after="240"/>
        <w:ind w:left="142"/>
        <w:jc w:val="both"/>
        <w:rPr>
          <w:rFonts w:ascii="Bookman Old Style" w:hAnsi="Bookman Old Style" w:cs="Arial"/>
        </w:rPr>
      </w:pPr>
      <w:r>
        <w:rPr>
          <w:rFonts w:ascii="Bookman Old Style" w:hAnsi="Bookman Old Style" w:cs="Arial"/>
        </w:rPr>
        <w:t xml:space="preserve">Tanto la UPME como el OR, según corresponda, resolverán las solicitudes modificando temporalmente la </w:t>
      </w:r>
      <w:r w:rsidRPr="00527E4B">
        <w:rPr>
          <w:rFonts w:ascii="Bookman Old Style" w:hAnsi="Bookman Old Style" w:cs="Arial"/>
        </w:rPr>
        <w:t>capacidad de transporte</w:t>
      </w:r>
      <w:r>
        <w:rPr>
          <w:rFonts w:ascii="Bookman Old Style" w:hAnsi="Bookman Old Style" w:cs="Arial"/>
        </w:rPr>
        <w:t xml:space="preserve"> asignada o </w:t>
      </w:r>
      <w:r w:rsidRPr="00234848">
        <w:rPr>
          <w:rFonts w:ascii="Bookman Old Style" w:hAnsi="Bookman Old Style" w:cs="Arial"/>
        </w:rPr>
        <w:t xml:space="preserve">la </w:t>
      </w:r>
      <w:r>
        <w:rPr>
          <w:rFonts w:ascii="Bookman Old Style" w:hAnsi="Bookman Old Style" w:cs="Arial"/>
        </w:rPr>
        <w:t xml:space="preserve">potencia máxima declarada. Dichas modificaciones estarán vigentes durante la ventana de aplicación establecida en el artículo </w:t>
      </w:r>
      <w:r>
        <w:rPr>
          <w:rFonts w:ascii="Bookman Old Style" w:hAnsi="Bookman Old Style" w:cs="Arial"/>
        </w:rPr>
        <w:fldChar w:fldCharType="begin"/>
      </w:r>
      <w:r>
        <w:rPr>
          <w:rFonts w:ascii="Bookman Old Style" w:hAnsi="Bookman Old Style" w:cs="Arial"/>
        </w:rPr>
        <w:instrText xml:space="preserve"> REF _Ref156803203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3</w:t>
      </w:r>
      <w:r>
        <w:rPr>
          <w:rFonts w:ascii="Bookman Old Style" w:hAnsi="Bookman Old Style" w:cs="Arial"/>
        </w:rPr>
        <w:fldChar w:fldCharType="end"/>
      </w:r>
      <w:r>
        <w:rPr>
          <w:rFonts w:ascii="Bookman Old Style" w:hAnsi="Bookman Old Style" w:cs="Arial"/>
        </w:rPr>
        <w:t xml:space="preserve"> de la presente resolución</w:t>
      </w:r>
      <w:bookmarkEnd w:id="4"/>
      <w:r>
        <w:rPr>
          <w:rFonts w:ascii="Bookman Old Style" w:hAnsi="Bookman Old Style" w:cs="Arial"/>
        </w:rPr>
        <w:t xml:space="preserve"> y para resolver las solicitudes deberá considerarse las disposiciones establecidas en la presente resolución.</w:t>
      </w:r>
      <w:r w:rsidRPr="00527E4B">
        <w:rPr>
          <w:rFonts w:ascii="Bookman Old Style" w:hAnsi="Bookman Old Style" w:cs="Arial"/>
        </w:rPr>
        <w:t xml:space="preserve"> </w:t>
      </w:r>
    </w:p>
    <w:p w14:paraId="5D452F99" w14:textId="77777777" w:rsidR="0075272E" w:rsidRDefault="0075272E" w:rsidP="0075272E">
      <w:pPr>
        <w:tabs>
          <w:tab w:val="left" w:pos="1701"/>
          <w:tab w:val="num" w:pos="2150"/>
        </w:tabs>
        <w:spacing w:before="240" w:after="240"/>
        <w:ind w:left="142"/>
        <w:jc w:val="both"/>
        <w:rPr>
          <w:rFonts w:ascii="Bookman Old Style" w:hAnsi="Bookman Old Style" w:cs="Arial"/>
        </w:rPr>
      </w:pPr>
      <w:r>
        <w:rPr>
          <w:rFonts w:ascii="Bookman Old Style" w:hAnsi="Bookman Old Style" w:cs="Arial"/>
        </w:rPr>
        <w:t>Además, los interesados en la entrega de excedentes de energía deberán solicitar a</w:t>
      </w:r>
      <w:r w:rsidRPr="00DB5BC8">
        <w:rPr>
          <w:rFonts w:ascii="Bookman Old Style" w:hAnsi="Bookman Old Style" w:cs="Arial"/>
        </w:rPr>
        <w:t>l transportador</w:t>
      </w:r>
      <w:r>
        <w:rPr>
          <w:rFonts w:ascii="Bookman Old Style" w:hAnsi="Bookman Old Style" w:cs="Arial"/>
        </w:rPr>
        <w:t xml:space="preserve"> </w:t>
      </w:r>
      <w:r w:rsidRPr="00DB5BC8">
        <w:rPr>
          <w:rFonts w:ascii="Bookman Old Style" w:hAnsi="Bookman Old Style" w:cs="Arial"/>
        </w:rPr>
        <w:t>responsable de los activos donde está conectada la planta</w:t>
      </w:r>
      <w:r>
        <w:rPr>
          <w:rFonts w:ascii="Bookman Old Style" w:hAnsi="Bookman Old Style" w:cs="Arial"/>
        </w:rPr>
        <w:t xml:space="preserve"> un concepto favorable sobre </w:t>
      </w:r>
      <w:r w:rsidRPr="00B94C25">
        <w:rPr>
          <w:rFonts w:ascii="Bookman Old Style" w:hAnsi="Bookman Old Style" w:cs="Arial"/>
        </w:rPr>
        <w:t>la coordinación de protecciones eléctricas</w:t>
      </w:r>
      <w:r>
        <w:rPr>
          <w:rFonts w:ascii="Bookman Old Style" w:hAnsi="Bookman Old Style" w:cs="Arial"/>
        </w:rPr>
        <w:t>.</w:t>
      </w:r>
      <w:r w:rsidRPr="00B94C25">
        <w:rPr>
          <w:rFonts w:ascii="Bookman Old Style" w:hAnsi="Bookman Old Style" w:cs="Arial"/>
        </w:rPr>
        <w:t xml:space="preserve"> </w:t>
      </w:r>
      <w:r>
        <w:rPr>
          <w:rFonts w:ascii="Bookman Old Style" w:hAnsi="Bookman Old Style" w:cs="Arial"/>
        </w:rPr>
        <w:t xml:space="preserve">El transportador </w:t>
      </w:r>
      <w:r w:rsidRPr="00DB5BC8">
        <w:rPr>
          <w:rFonts w:ascii="Bookman Old Style" w:hAnsi="Bookman Old Style" w:cs="Arial"/>
        </w:rPr>
        <w:t>deberá dar respuesta a la solicitud del mencionado concepto</w:t>
      </w:r>
      <w:r>
        <w:rPr>
          <w:rFonts w:ascii="Bookman Old Style" w:hAnsi="Bookman Old Style" w:cs="Arial"/>
        </w:rPr>
        <w:t>, con copia al CND,</w:t>
      </w:r>
      <w:r w:rsidRPr="00DB5BC8">
        <w:rPr>
          <w:rFonts w:ascii="Bookman Old Style" w:hAnsi="Bookman Old Style" w:cs="Arial"/>
        </w:rPr>
        <w:t xml:space="preserve"> en un plazo máximo de cinco (5) días hábiles.</w:t>
      </w:r>
    </w:p>
    <w:p w14:paraId="423FF41F" w14:textId="77777777" w:rsidR="0075272E" w:rsidRPr="0075272E" w:rsidRDefault="0075272E" w:rsidP="0075272E">
      <w:pPr>
        <w:numPr>
          <w:ilvl w:val="0"/>
          <w:numId w:val="7"/>
        </w:numPr>
        <w:tabs>
          <w:tab w:val="left" w:pos="1701"/>
          <w:tab w:val="num" w:pos="2150"/>
        </w:tabs>
        <w:spacing w:before="240" w:after="240"/>
        <w:ind w:left="142"/>
        <w:jc w:val="both"/>
      </w:pPr>
      <w:r>
        <w:rPr>
          <w:rFonts w:ascii="Bookman Old Style" w:hAnsi="Bookman Old Style" w:cs="Arial"/>
          <w:b/>
          <w:bCs/>
        </w:rPr>
        <w:t>Reglas para la ampliación de capacidad</w:t>
      </w:r>
      <w:r w:rsidRPr="00CF366E">
        <w:rPr>
          <w:rFonts w:ascii="Bookman Old Style" w:hAnsi="Bookman Old Style" w:cs="Arial"/>
          <w:b/>
          <w:bCs/>
        </w:rPr>
        <w:t>.</w:t>
      </w:r>
      <w:r>
        <w:rPr>
          <w:rFonts w:ascii="Bookman Old Style" w:hAnsi="Bookman Old Style" w:cs="Arial"/>
        </w:rPr>
        <w:t xml:space="preserve"> La ampliación de capacidad para la entrega de excedentes de energía, de que trata esta resolución, se realizará con base en las siguientes reglas:</w:t>
      </w:r>
    </w:p>
    <w:p w14:paraId="2A85268D" w14:textId="77777777" w:rsidR="0075272E" w:rsidRPr="0075272E" w:rsidRDefault="0075272E" w:rsidP="0075272E">
      <w:pPr>
        <w:pStyle w:val="Prrafodelista"/>
        <w:numPr>
          <w:ilvl w:val="0"/>
          <w:numId w:val="24"/>
        </w:numPr>
        <w:tabs>
          <w:tab w:val="left" w:pos="1701"/>
          <w:tab w:val="num" w:pos="2150"/>
        </w:tabs>
        <w:spacing w:before="240" w:after="240"/>
        <w:jc w:val="both"/>
        <w:rPr>
          <w:rFonts w:ascii="Bookman Old Style" w:hAnsi="Bookman Old Style"/>
          <w:b/>
          <w:bCs/>
          <w:sz w:val="24"/>
          <w:szCs w:val="24"/>
        </w:rPr>
      </w:pPr>
      <w:r w:rsidRPr="0075272E">
        <w:rPr>
          <w:rFonts w:ascii="Bookman Old Style" w:hAnsi="Bookman Old Style"/>
          <w:b/>
          <w:bCs/>
          <w:sz w:val="24"/>
          <w:szCs w:val="24"/>
        </w:rPr>
        <w:t xml:space="preserve">Solicitudes remitidas a la UPME. </w:t>
      </w:r>
      <w:r w:rsidRPr="0075272E">
        <w:rPr>
          <w:rFonts w:ascii="Bookman Old Style" w:hAnsi="Bookman Old Style"/>
          <w:sz w:val="24"/>
          <w:szCs w:val="24"/>
        </w:rPr>
        <w:t>Cinco (5) días hábiles contados a partir de la entrada en vigencia de la presente resolución, la UPME definirá y publicará mediante circular la información y documentos que requiere para el análisis de la viabilidad técnica de la ampliación de capacidad para la entrega adicional de excedentes de generación de cada una de las plantas.</w:t>
      </w:r>
    </w:p>
    <w:p w14:paraId="5124A82B" w14:textId="77777777" w:rsidR="0075272E" w:rsidRPr="0075272E" w:rsidRDefault="0075272E" w:rsidP="0075272E">
      <w:pPr>
        <w:tabs>
          <w:tab w:val="left" w:pos="1701"/>
          <w:tab w:val="num" w:pos="2150"/>
        </w:tabs>
        <w:spacing w:before="240" w:after="240"/>
        <w:ind w:left="490"/>
        <w:jc w:val="both"/>
        <w:rPr>
          <w:rFonts w:ascii="Bookman Old Style" w:hAnsi="Bookman Old Style" w:cs="Arial"/>
        </w:rPr>
      </w:pPr>
      <w:r w:rsidRPr="0075272E">
        <w:rPr>
          <w:rFonts w:ascii="Bookman Old Style" w:hAnsi="Bookman Old Style"/>
        </w:rPr>
        <w:t xml:space="preserve">La UPME determinará el procedimiento que seguirá para recibir y resolver las solicitudes de modificación temporal de la asignación de capacidad de transporte con que cuentan estas plantas, incluyendo los plazos que tendrían cada una de las partes en las diferentes etapas. </w:t>
      </w:r>
      <w:r w:rsidRPr="0075272E">
        <w:rPr>
          <w:rFonts w:ascii="Bookman Old Style" w:hAnsi="Bookman Old Style" w:cs="Arial"/>
        </w:rPr>
        <w:t>El plazo para publicar este procedimiento se indicará en la circular antes mencionada.</w:t>
      </w:r>
    </w:p>
    <w:p w14:paraId="06545543" w14:textId="77777777" w:rsidR="0075272E" w:rsidRDefault="0075272E" w:rsidP="0075272E">
      <w:pPr>
        <w:tabs>
          <w:tab w:val="left" w:pos="1701"/>
          <w:tab w:val="num" w:pos="2150"/>
        </w:tabs>
        <w:spacing w:before="240" w:after="240"/>
        <w:ind w:left="490"/>
        <w:jc w:val="both"/>
        <w:rPr>
          <w:rFonts w:ascii="Bookman Old Style" w:hAnsi="Bookman Old Style" w:cs="Arial"/>
        </w:rPr>
      </w:pPr>
      <w:r w:rsidRPr="00527E4B">
        <w:rPr>
          <w:rFonts w:ascii="Bookman Old Style" w:hAnsi="Bookman Old Style" w:cs="Arial"/>
        </w:rPr>
        <w:t xml:space="preserve">La </w:t>
      </w:r>
      <w:r>
        <w:rPr>
          <w:rFonts w:ascii="Bookman Old Style" w:hAnsi="Bookman Old Style" w:cs="Arial"/>
        </w:rPr>
        <w:t>respuesta a las solicitudes se emitirá a través de un concepto. En caso de que la solicitud sea aprobada, en el concepto se indicará el valor adicionado a la</w:t>
      </w:r>
      <w:r w:rsidRPr="00527E4B">
        <w:rPr>
          <w:rFonts w:ascii="Bookman Old Style" w:hAnsi="Bookman Old Style" w:cs="Arial"/>
        </w:rPr>
        <w:t xml:space="preserve"> capacidad de transporte </w:t>
      </w:r>
      <w:r>
        <w:rPr>
          <w:rFonts w:ascii="Bookman Old Style" w:hAnsi="Bookman Old Style" w:cs="Arial"/>
        </w:rPr>
        <w:t xml:space="preserve">del agente </w:t>
      </w:r>
      <w:r w:rsidRPr="00527E4B">
        <w:rPr>
          <w:rFonts w:ascii="Bookman Old Style" w:hAnsi="Bookman Old Style" w:cs="Arial"/>
        </w:rPr>
        <w:t xml:space="preserve">y la fecha </w:t>
      </w:r>
      <w:r>
        <w:rPr>
          <w:rFonts w:ascii="Bookman Old Style" w:hAnsi="Bookman Old Style" w:cs="Arial"/>
        </w:rPr>
        <w:t>inicial en que</w:t>
      </w:r>
      <w:r w:rsidRPr="00527E4B" w:rsidDel="00234848">
        <w:rPr>
          <w:rFonts w:ascii="Bookman Old Style" w:hAnsi="Bookman Old Style" w:cs="Arial"/>
        </w:rPr>
        <w:t xml:space="preserve"> </w:t>
      </w:r>
      <w:r>
        <w:rPr>
          <w:rFonts w:ascii="Bookman Old Style" w:hAnsi="Bookman Old Style" w:cs="Arial"/>
        </w:rPr>
        <w:t xml:space="preserve">la planta hará </w:t>
      </w:r>
      <w:r w:rsidRPr="00527E4B">
        <w:rPr>
          <w:rFonts w:ascii="Bookman Old Style" w:hAnsi="Bookman Old Style" w:cs="Arial"/>
        </w:rPr>
        <w:t>la entrega de</w:t>
      </w:r>
      <w:r>
        <w:rPr>
          <w:rFonts w:ascii="Bookman Old Style" w:hAnsi="Bookman Old Style" w:cs="Arial"/>
        </w:rPr>
        <w:t xml:space="preserve"> excedentes de</w:t>
      </w:r>
      <w:r w:rsidRPr="00527E4B">
        <w:rPr>
          <w:rFonts w:ascii="Bookman Old Style" w:hAnsi="Bookman Old Style" w:cs="Arial"/>
        </w:rPr>
        <w:t xml:space="preserve"> energía al SIN</w:t>
      </w:r>
      <w:r>
        <w:rPr>
          <w:rFonts w:ascii="Bookman Old Style" w:hAnsi="Bookman Old Style" w:cs="Arial"/>
        </w:rPr>
        <w:t>, con base en las reglas definidas en esta resolución. La UPME dará a conocer el concepto al respectivo transportador, mediante el mecanismo que esta entidad considere.</w:t>
      </w:r>
    </w:p>
    <w:p w14:paraId="6C57A46F" w14:textId="77777777" w:rsidR="0075272E" w:rsidRDefault="0075272E" w:rsidP="0075272E">
      <w:pPr>
        <w:tabs>
          <w:tab w:val="left" w:pos="1701"/>
          <w:tab w:val="num" w:pos="2150"/>
        </w:tabs>
        <w:spacing w:before="240" w:after="240"/>
        <w:ind w:left="490"/>
        <w:jc w:val="both"/>
        <w:rPr>
          <w:rFonts w:ascii="Bookman Old Style" w:hAnsi="Bookman Old Style" w:cs="Arial"/>
        </w:rPr>
      </w:pPr>
      <w:r>
        <w:rPr>
          <w:rFonts w:ascii="Bookman Old Style" w:hAnsi="Bookman Old Style" w:cs="Arial"/>
        </w:rPr>
        <w:t xml:space="preserve">El plazo </w:t>
      </w:r>
      <w:r w:rsidRPr="00527E4B">
        <w:rPr>
          <w:rFonts w:ascii="Bookman Old Style" w:hAnsi="Bookman Old Style" w:cs="Arial"/>
        </w:rPr>
        <w:t>máximo de respuesta</w:t>
      </w:r>
      <w:r>
        <w:rPr>
          <w:rFonts w:ascii="Bookman Old Style" w:hAnsi="Bookman Old Style" w:cs="Arial"/>
        </w:rPr>
        <w:t xml:space="preserve"> a las solicitudes será definido por la UPME e informado a los interesados en la circular antes mencionada. Este plazo será </w:t>
      </w:r>
      <w:r w:rsidRPr="00527E4B">
        <w:rPr>
          <w:rFonts w:ascii="Bookman Old Style" w:hAnsi="Bookman Old Style" w:cs="Arial"/>
        </w:rPr>
        <w:t xml:space="preserve">contado a partir de </w:t>
      </w:r>
      <w:r>
        <w:rPr>
          <w:rFonts w:ascii="Bookman Old Style" w:hAnsi="Bookman Old Style" w:cs="Arial"/>
        </w:rPr>
        <w:t xml:space="preserve">la </w:t>
      </w:r>
      <w:r w:rsidRPr="00527E4B">
        <w:rPr>
          <w:rFonts w:ascii="Bookman Old Style" w:hAnsi="Bookman Old Style" w:cs="Arial"/>
        </w:rPr>
        <w:t>fecha de radicación</w:t>
      </w:r>
      <w:r>
        <w:rPr>
          <w:rFonts w:ascii="Bookman Old Style" w:hAnsi="Bookman Old Style" w:cs="Arial"/>
        </w:rPr>
        <w:t xml:space="preserve"> de la información completa de cada solicitud.</w:t>
      </w:r>
    </w:p>
    <w:p w14:paraId="794C1FE5" w14:textId="77777777" w:rsidR="0075272E" w:rsidRPr="00527E4B" w:rsidRDefault="0075272E" w:rsidP="0075272E">
      <w:pPr>
        <w:tabs>
          <w:tab w:val="left" w:pos="1701"/>
          <w:tab w:val="num" w:pos="2150"/>
        </w:tabs>
        <w:spacing w:before="240" w:after="240"/>
        <w:ind w:left="490"/>
        <w:jc w:val="both"/>
        <w:rPr>
          <w:rFonts w:ascii="Bookman Old Style" w:hAnsi="Bookman Old Style" w:cs="Arial"/>
        </w:rPr>
      </w:pPr>
      <w:r>
        <w:rPr>
          <w:rFonts w:ascii="Bookman Old Style" w:hAnsi="Bookman Old Style" w:cs="Arial"/>
        </w:rPr>
        <w:t xml:space="preserve">La UPME llevará el registro de las solicitudes recibidas y las respuestas dadas, con el fin de hacer seguimiento al resultado de aplicación de esta medida. Este registro deberá ser enviado a la CREG dentro del mes siguiente </w:t>
      </w:r>
      <w:r>
        <w:rPr>
          <w:rFonts w:ascii="Bookman Old Style" w:hAnsi="Bookman Old Style" w:cs="Arial"/>
        </w:rPr>
        <w:lastRenderedPageBreak/>
        <w:t>a la fecha de finalización de la ventana de aplicación establecida en esta resolución.</w:t>
      </w:r>
    </w:p>
    <w:p w14:paraId="787091D8" w14:textId="77777777" w:rsidR="0075272E" w:rsidRPr="0075272E" w:rsidRDefault="0075272E" w:rsidP="0075272E">
      <w:pPr>
        <w:pStyle w:val="Prrafodelista"/>
        <w:numPr>
          <w:ilvl w:val="0"/>
          <w:numId w:val="24"/>
        </w:numPr>
        <w:tabs>
          <w:tab w:val="left" w:pos="1701"/>
          <w:tab w:val="num" w:pos="2150"/>
        </w:tabs>
        <w:spacing w:before="240" w:after="240"/>
        <w:jc w:val="both"/>
        <w:rPr>
          <w:rFonts w:ascii="Bookman Old Style" w:hAnsi="Bookman Old Style"/>
          <w:b/>
          <w:bCs/>
          <w:sz w:val="24"/>
          <w:szCs w:val="24"/>
        </w:rPr>
      </w:pPr>
      <w:r w:rsidRPr="0075272E">
        <w:rPr>
          <w:rFonts w:ascii="Bookman Old Style" w:hAnsi="Bookman Old Style"/>
          <w:b/>
          <w:bCs/>
          <w:sz w:val="24"/>
          <w:szCs w:val="24"/>
        </w:rPr>
        <w:t xml:space="preserve">Solicitudes remitidas al OR. </w:t>
      </w:r>
      <w:r w:rsidRPr="0075272E">
        <w:rPr>
          <w:rFonts w:ascii="Bookman Old Style" w:hAnsi="Bookman Old Style"/>
          <w:sz w:val="24"/>
          <w:szCs w:val="24"/>
        </w:rPr>
        <w:t>Mediante circular de la CREG se definirá la información, documentos y plazos a considerar por parte del OR para la aplicación de lo dispuesto en esta resolución. Para este fin, el CNO deberá enviar a al CREG una propuesta, que tome como base las reglas establecidas para la modificación de la potencia máxima declarada, establecidas en la Resolución CREG 174 de 2021, cuyo propósito sea reducir al máximo posible las exigencias y plazos establecidos en la regulación, considerando el objetivo de la presente resolución.</w:t>
      </w:r>
      <w:r w:rsidRPr="0075272E">
        <w:rPr>
          <w:rFonts w:ascii="Bookman Old Style" w:hAnsi="Bookman Old Style"/>
          <w:b/>
          <w:bCs/>
          <w:sz w:val="24"/>
          <w:szCs w:val="24"/>
        </w:rPr>
        <w:t xml:space="preserve"> </w:t>
      </w:r>
    </w:p>
    <w:p w14:paraId="1197FCD7" w14:textId="77777777" w:rsidR="0075272E" w:rsidRDefault="0075272E" w:rsidP="0075272E">
      <w:pPr>
        <w:tabs>
          <w:tab w:val="left" w:pos="1701"/>
          <w:tab w:val="num" w:pos="2150"/>
        </w:tabs>
        <w:spacing w:before="240" w:after="240"/>
        <w:ind w:left="490"/>
        <w:jc w:val="both"/>
        <w:rPr>
          <w:rFonts w:ascii="Bookman Old Style" w:hAnsi="Bookman Old Style" w:cs="Arial"/>
        </w:rPr>
      </w:pPr>
      <w:r>
        <w:rPr>
          <w:rFonts w:ascii="Bookman Old Style" w:hAnsi="Bookman Old Style" w:cs="Arial"/>
        </w:rPr>
        <w:t xml:space="preserve">La propuesta </w:t>
      </w:r>
      <w:r w:rsidRPr="00290326">
        <w:rPr>
          <w:rFonts w:ascii="Bookman Old Style" w:hAnsi="Bookman Old Style" w:cs="Arial"/>
        </w:rPr>
        <w:t xml:space="preserve">del CNO deberá </w:t>
      </w:r>
      <w:r>
        <w:rPr>
          <w:rFonts w:ascii="Bookman Old Style" w:hAnsi="Bookman Old Style" w:cs="Arial"/>
        </w:rPr>
        <w:t xml:space="preserve">enviarse a la CREG </w:t>
      </w:r>
      <w:r w:rsidRPr="00290326">
        <w:rPr>
          <w:rFonts w:ascii="Bookman Old Style" w:hAnsi="Bookman Old Style" w:cs="Arial"/>
        </w:rPr>
        <w:t xml:space="preserve">en un plazo de </w:t>
      </w:r>
      <w:r>
        <w:rPr>
          <w:rFonts w:ascii="Bookman Old Style" w:hAnsi="Bookman Old Style" w:cs="Arial"/>
        </w:rPr>
        <w:t>ocho</w:t>
      </w:r>
      <w:r w:rsidRPr="00290326">
        <w:rPr>
          <w:rFonts w:ascii="Bookman Old Style" w:hAnsi="Bookman Old Style" w:cs="Arial"/>
        </w:rPr>
        <w:t xml:space="preserve"> (</w:t>
      </w:r>
      <w:r>
        <w:rPr>
          <w:rFonts w:ascii="Bookman Old Style" w:hAnsi="Bookman Old Style" w:cs="Arial"/>
        </w:rPr>
        <w:t>8</w:t>
      </w:r>
      <w:r w:rsidRPr="00290326">
        <w:rPr>
          <w:rFonts w:ascii="Bookman Old Style" w:hAnsi="Bookman Old Style" w:cs="Arial"/>
        </w:rPr>
        <w:t>) días hábiles contados a partir de la fecha de entrada en vigencia de la presente resolución.</w:t>
      </w:r>
    </w:p>
    <w:p w14:paraId="0ECB70D7" w14:textId="77777777" w:rsidR="0075272E" w:rsidRDefault="0075272E" w:rsidP="0075272E">
      <w:pPr>
        <w:tabs>
          <w:tab w:val="left" w:pos="1701"/>
          <w:tab w:val="num" w:pos="2150"/>
        </w:tabs>
        <w:spacing w:before="240" w:after="240"/>
        <w:ind w:left="490"/>
        <w:jc w:val="both"/>
        <w:rPr>
          <w:rFonts w:ascii="Bookman Old Style" w:hAnsi="Bookman Old Style" w:cs="Arial"/>
        </w:rPr>
      </w:pPr>
      <w:r w:rsidRPr="00805D3F">
        <w:rPr>
          <w:rFonts w:ascii="Bookman Old Style" w:hAnsi="Bookman Old Style" w:cs="Arial"/>
        </w:rPr>
        <w:t xml:space="preserve">El plazo máximo de respuesta a las solicitudes </w:t>
      </w:r>
      <w:r>
        <w:rPr>
          <w:rFonts w:ascii="Bookman Old Style" w:hAnsi="Bookman Old Style" w:cs="Arial"/>
        </w:rPr>
        <w:t xml:space="preserve">remitidas a los OR </w:t>
      </w:r>
      <w:r w:rsidRPr="00805D3F">
        <w:rPr>
          <w:rFonts w:ascii="Bookman Old Style" w:hAnsi="Bookman Old Style" w:cs="Arial"/>
        </w:rPr>
        <w:t>será definido</w:t>
      </w:r>
      <w:r>
        <w:rPr>
          <w:rFonts w:ascii="Bookman Old Style" w:hAnsi="Bookman Old Style" w:cs="Arial"/>
        </w:rPr>
        <w:t xml:space="preserve"> en la circular de la CREG, con base en la propuesta que para esto también haga el CNO. En la respuesta a las solicitudes aprobadas deberá </w:t>
      </w:r>
      <w:r w:rsidRPr="00234848">
        <w:rPr>
          <w:rFonts w:ascii="Bookman Old Style" w:hAnsi="Bookman Old Style" w:cs="Arial"/>
        </w:rPr>
        <w:t>indica</w:t>
      </w:r>
      <w:r>
        <w:rPr>
          <w:rFonts w:ascii="Bookman Old Style" w:hAnsi="Bookman Old Style" w:cs="Arial"/>
        </w:rPr>
        <w:t>se</w:t>
      </w:r>
      <w:r w:rsidRPr="00234848">
        <w:rPr>
          <w:rFonts w:ascii="Bookman Old Style" w:hAnsi="Bookman Old Style" w:cs="Arial"/>
        </w:rPr>
        <w:t xml:space="preserve"> </w:t>
      </w:r>
      <w:r>
        <w:rPr>
          <w:rFonts w:ascii="Bookman Old Style" w:hAnsi="Bookman Old Style" w:cs="Arial"/>
        </w:rPr>
        <w:t xml:space="preserve">el valor adicionado a </w:t>
      </w:r>
      <w:r w:rsidRPr="00234848">
        <w:rPr>
          <w:rFonts w:ascii="Bookman Old Style" w:hAnsi="Bookman Old Style" w:cs="Arial"/>
        </w:rPr>
        <w:t xml:space="preserve">la </w:t>
      </w:r>
      <w:r>
        <w:rPr>
          <w:rFonts w:ascii="Bookman Old Style" w:hAnsi="Bookman Old Style" w:cs="Arial"/>
        </w:rPr>
        <w:t xml:space="preserve">potencia máxima declarada </w:t>
      </w:r>
      <w:r w:rsidRPr="00234848">
        <w:rPr>
          <w:rFonts w:ascii="Bookman Old Style" w:hAnsi="Bookman Old Style" w:cs="Arial"/>
        </w:rPr>
        <w:t xml:space="preserve">y la fecha inicial a partir de la cual </w:t>
      </w:r>
      <w:r>
        <w:rPr>
          <w:rFonts w:ascii="Bookman Old Style" w:hAnsi="Bookman Old Style" w:cs="Arial"/>
        </w:rPr>
        <w:t xml:space="preserve">la planta </w:t>
      </w:r>
      <w:r w:rsidRPr="00234848">
        <w:rPr>
          <w:rFonts w:ascii="Bookman Old Style" w:hAnsi="Bookman Old Style" w:cs="Arial"/>
        </w:rPr>
        <w:t xml:space="preserve">podrá </w:t>
      </w:r>
      <w:r>
        <w:rPr>
          <w:rFonts w:ascii="Bookman Old Style" w:hAnsi="Bookman Old Style" w:cs="Arial"/>
        </w:rPr>
        <w:t>empezar</w:t>
      </w:r>
      <w:r w:rsidRPr="00234848">
        <w:rPr>
          <w:rFonts w:ascii="Bookman Old Style" w:hAnsi="Bookman Old Style" w:cs="Arial"/>
        </w:rPr>
        <w:t xml:space="preserve"> la entrega de excedentes de energía al SIN, con base en las reglas definidas en esta resolución</w:t>
      </w:r>
      <w:r>
        <w:rPr>
          <w:rFonts w:ascii="Bookman Old Style" w:hAnsi="Bookman Old Style" w:cs="Arial"/>
        </w:rPr>
        <w:t>.</w:t>
      </w:r>
    </w:p>
    <w:p w14:paraId="2DB4AC71" w14:textId="77777777" w:rsidR="0075272E" w:rsidRPr="00527E4B" w:rsidRDefault="0075272E" w:rsidP="0075272E">
      <w:pPr>
        <w:tabs>
          <w:tab w:val="left" w:pos="1701"/>
          <w:tab w:val="num" w:pos="2150"/>
        </w:tabs>
        <w:spacing w:before="240" w:after="240"/>
        <w:ind w:left="490"/>
        <w:jc w:val="both"/>
        <w:rPr>
          <w:rFonts w:ascii="Bookman Old Style" w:hAnsi="Bookman Old Style" w:cs="Arial"/>
        </w:rPr>
      </w:pPr>
      <w:r>
        <w:rPr>
          <w:rFonts w:ascii="Bookman Old Style" w:hAnsi="Bookman Old Style" w:cs="Arial"/>
        </w:rPr>
        <w:t>Cada OR deberá llevar el registro de las solicitudes recibidas y las respuestas dadas, con el fin de hacer seguimiento al resultado de aplicación de esta medida. Este registro deberá ser enviado a la CREG y a la SSPD dentro del mes siguiente a la fecha de finalización de la ventana de aplicación establecida en esta resolución.</w:t>
      </w:r>
    </w:p>
    <w:p w14:paraId="074837B5" w14:textId="77777777" w:rsidR="0075272E" w:rsidRPr="00F95D4D" w:rsidRDefault="0075272E" w:rsidP="0075272E">
      <w:pPr>
        <w:numPr>
          <w:ilvl w:val="0"/>
          <w:numId w:val="7"/>
        </w:numPr>
        <w:tabs>
          <w:tab w:val="left" w:pos="1701"/>
          <w:tab w:val="num" w:pos="2150"/>
        </w:tabs>
        <w:spacing w:before="240" w:after="240"/>
        <w:ind w:left="142"/>
        <w:jc w:val="both"/>
        <w:rPr>
          <w:rFonts w:ascii="Bookman Old Style" w:hAnsi="Bookman Old Style" w:cs="Arial"/>
        </w:rPr>
      </w:pPr>
      <w:r>
        <w:rPr>
          <w:rFonts w:ascii="Bookman Old Style" w:hAnsi="Bookman Old Style" w:cs="Arial"/>
          <w:b/>
          <w:bCs/>
        </w:rPr>
        <w:t>Registro de la frontera generación.</w:t>
      </w:r>
      <w:r w:rsidRPr="00F95D4D">
        <w:rPr>
          <w:rFonts w:ascii="Bookman Old Style" w:hAnsi="Bookman Old Style" w:cs="Arial"/>
        </w:rPr>
        <w:t xml:space="preserve"> Si para la entrega de excedentes de generación</w:t>
      </w:r>
      <w:r>
        <w:rPr>
          <w:rFonts w:ascii="Bookman Old Style" w:hAnsi="Bookman Old Style" w:cs="Arial"/>
        </w:rPr>
        <w:t xml:space="preserve"> de que trata esta resolución no se cuenta con frontera de generación, el agente deberá hacer </w:t>
      </w:r>
      <w:r w:rsidRPr="00F95D4D">
        <w:rPr>
          <w:rFonts w:ascii="Bookman Old Style" w:hAnsi="Bookman Old Style" w:cs="Arial"/>
        </w:rPr>
        <w:t xml:space="preserve">el registro </w:t>
      </w:r>
      <w:r>
        <w:rPr>
          <w:rFonts w:ascii="Bookman Old Style" w:hAnsi="Bookman Old Style" w:cs="Arial"/>
        </w:rPr>
        <w:t>de</w:t>
      </w:r>
      <w:r w:rsidRPr="00F95D4D">
        <w:rPr>
          <w:rFonts w:ascii="Bookman Old Style" w:hAnsi="Bookman Old Style" w:cs="Arial"/>
        </w:rPr>
        <w:t xml:space="preserve"> </w:t>
      </w:r>
      <w:r>
        <w:rPr>
          <w:rFonts w:ascii="Bookman Old Style" w:hAnsi="Bookman Old Style" w:cs="Arial"/>
        </w:rPr>
        <w:t xml:space="preserve">dicha </w:t>
      </w:r>
      <w:r w:rsidRPr="00F95D4D">
        <w:rPr>
          <w:rFonts w:ascii="Bookman Old Style" w:hAnsi="Bookman Old Style" w:cs="Arial"/>
        </w:rPr>
        <w:t>frontera aplicando las disposiciones de la Resolución CREG 157 de 2011</w:t>
      </w:r>
      <w:r>
        <w:rPr>
          <w:rFonts w:ascii="Bookman Old Style" w:hAnsi="Bookman Old Style" w:cs="Arial"/>
        </w:rPr>
        <w:t>, pero considerando</w:t>
      </w:r>
      <w:r w:rsidRPr="00F95D4D">
        <w:rPr>
          <w:rFonts w:ascii="Bookman Old Style" w:hAnsi="Bookman Old Style" w:cs="Arial"/>
        </w:rPr>
        <w:t xml:space="preserve"> </w:t>
      </w:r>
      <w:r>
        <w:rPr>
          <w:rFonts w:ascii="Bookman Old Style" w:hAnsi="Bookman Old Style" w:cs="Arial"/>
        </w:rPr>
        <w:t>lo</w:t>
      </w:r>
      <w:r w:rsidRPr="00F95D4D">
        <w:rPr>
          <w:rFonts w:ascii="Bookman Old Style" w:hAnsi="Bookman Old Style" w:cs="Arial"/>
        </w:rPr>
        <w:t xml:space="preserve"> siguiente:</w:t>
      </w:r>
    </w:p>
    <w:p w14:paraId="788DC742" w14:textId="77777777" w:rsidR="0075272E" w:rsidRPr="0075272E" w:rsidRDefault="0075272E" w:rsidP="0075272E">
      <w:pPr>
        <w:pStyle w:val="Prrafodelista"/>
        <w:numPr>
          <w:ilvl w:val="0"/>
          <w:numId w:val="25"/>
        </w:numPr>
        <w:tabs>
          <w:tab w:val="left" w:pos="1701"/>
        </w:tabs>
        <w:spacing w:before="240" w:after="240"/>
        <w:jc w:val="both"/>
        <w:rPr>
          <w:rFonts w:ascii="Bookman Old Style" w:hAnsi="Bookman Old Style"/>
          <w:sz w:val="24"/>
          <w:szCs w:val="24"/>
        </w:rPr>
      </w:pPr>
      <w:r w:rsidRPr="0075272E">
        <w:rPr>
          <w:rFonts w:ascii="Bookman Old Style" w:hAnsi="Bookman Old Style"/>
          <w:sz w:val="24"/>
          <w:szCs w:val="24"/>
        </w:rPr>
        <w:t>La solicitud de registro no tendrá que cumplir la antelación prevista en el artículo 4 de la Resolución CREG 157 de 2011.</w:t>
      </w:r>
    </w:p>
    <w:p w14:paraId="72222B21" w14:textId="77777777" w:rsidR="0075272E" w:rsidRPr="0075272E" w:rsidRDefault="0075272E" w:rsidP="0075272E">
      <w:pPr>
        <w:pStyle w:val="Prrafodelista"/>
        <w:numPr>
          <w:ilvl w:val="0"/>
          <w:numId w:val="25"/>
        </w:numPr>
        <w:tabs>
          <w:tab w:val="left" w:pos="1701"/>
        </w:tabs>
        <w:spacing w:before="240" w:after="240"/>
        <w:jc w:val="both"/>
        <w:rPr>
          <w:rFonts w:ascii="Bookman Old Style" w:hAnsi="Bookman Old Style"/>
          <w:sz w:val="24"/>
          <w:szCs w:val="24"/>
        </w:rPr>
      </w:pPr>
      <w:r w:rsidRPr="0075272E">
        <w:rPr>
          <w:rFonts w:ascii="Bookman Old Style" w:hAnsi="Bookman Old Style"/>
          <w:sz w:val="24"/>
          <w:szCs w:val="24"/>
        </w:rPr>
        <w:t>El agente que solicite el registro no estará obligado a cumplir con los requisitos señalados en los numerales 4 y 5 del artículo 4 de la Resolución CREG 157 de 2011.</w:t>
      </w:r>
    </w:p>
    <w:p w14:paraId="23DD9071" w14:textId="77777777" w:rsidR="0075272E" w:rsidRPr="0075272E" w:rsidRDefault="0075272E" w:rsidP="0075272E">
      <w:pPr>
        <w:pStyle w:val="Prrafodelista"/>
        <w:numPr>
          <w:ilvl w:val="0"/>
          <w:numId w:val="25"/>
        </w:numPr>
        <w:tabs>
          <w:tab w:val="left" w:pos="1701"/>
        </w:tabs>
        <w:spacing w:before="240" w:after="240"/>
        <w:jc w:val="both"/>
        <w:rPr>
          <w:rFonts w:ascii="Bookman Old Style" w:hAnsi="Bookman Old Style"/>
          <w:sz w:val="24"/>
          <w:szCs w:val="24"/>
        </w:rPr>
      </w:pPr>
      <w:r w:rsidRPr="0075272E">
        <w:rPr>
          <w:rFonts w:ascii="Bookman Old Style" w:hAnsi="Bookman Old Style"/>
          <w:sz w:val="24"/>
          <w:szCs w:val="24"/>
        </w:rPr>
        <w:t>Para realizar el registro de la frontera, el Administrador del Sistema de Intercambios Comerciales, ASIC, contará con un plazo máximo de dos (2) días hábiles desde que reciba la información completa requerida.</w:t>
      </w:r>
    </w:p>
    <w:p w14:paraId="05FB17D8" w14:textId="77777777" w:rsidR="0075272E" w:rsidRPr="0075272E" w:rsidRDefault="0075272E" w:rsidP="0075272E">
      <w:pPr>
        <w:pStyle w:val="Prrafodelista"/>
        <w:numPr>
          <w:ilvl w:val="0"/>
          <w:numId w:val="25"/>
        </w:numPr>
        <w:tabs>
          <w:tab w:val="left" w:pos="1701"/>
        </w:tabs>
        <w:spacing w:before="240" w:after="240"/>
        <w:jc w:val="both"/>
        <w:rPr>
          <w:rFonts w:ascii="Bookman Old Style" w:hAnsi="Bookman Old Style"/>
          <w:sz w:val="24"/>
          <w:szCs w:val="24"/>
        </w:rPr>
      </w:pPr>
      <w:r w:rsidRPr="0075272E">
        <w:rPr>
          <w:rFonts w:ascii="Bookman Old Style" w:hAnsi="Bookman Old Style"/>
          <w:sz w:val="24"/>
          <w:szCs w:val="24"/>
        </w:rPr>
        <w:t>Para el registro de estas fronteras no se aplicará lo dispuesto en los artículos 6 y 7 de la Resolución CREG 157 de 2011.</w:t>
      </w:r>
    </w:p>
    <w:p w14:paraId="0CCE7650" w14:textId="77777777" w:rsidR="0075272E" w:rsidRDefault="0075272E" w:rsidP="0075272E">
      <w:pPr>
        <w:tabs>
          <w:tab w:val="left" w:pos="1701"/>
        </w:tabs>
        <w:spacing w:before="240" w:after="240"/>
        <w:ind w:left="142"/>
        <w:jc w:val="both"/>
        <w:rPr>
          <w:rFonts w:ascii="Bookman Old Style" w:hAnsi="Bookman Old Style" w:cs="Arial"/>
          <w:b/>
          <w:bCs/>
        </w:rPr>
      </w:pPr>
      <w:r>
        <w:rPr>
          <w:rFonts w:ascii="Bookman Old Style" w:hAnsi="Bookman Old Style" w:cs="Arial"/>
          <w:b/>
          <w:bCs/>
        </w:rPr>
        <w:t>Parágrafo 1</w:t>
      </w:r>
      <w:r w:rsidRPr="00A32CF9">
        <w:rPr>
          <w:rFonts w:ascii="Bookman Old Style" w:hAnsi="Bookman Old Style" w:cs="Arial"/>
        </w:rPr>
        <w:t>. Las medidas de generación se deberán afectar por los factores de pérdidas para referir la medida al STN. Para lo cual, en el momento del registro de la frontera de generación, el agente generador que representa la planta reportará el factor para referir la medida al STN.</w:t>
      </w:r>
    </w:p>
    <w:p w14:paraId="679DA16B" w14:textId="365AACB5" w:rsidR="0075272E" w:rsidRDefault="0075272E" w:rsidP="0075272E">
      <w:pPr>
        <w:tabs>
          <w:tab w:val="left" w:pos="1701"/>
        </w:tabs>
        <w:spacing w:before="240" w:after="240"/>
        <w:ind w:left="142"/>
        <w:jc w:val="both"/>
        <w:rPr>
          <w:rFonts w:ascii="Bookman Old Style" w:hAnsi="Bookman Old Style" w:cs="Arial"/>
        </w:rPr>
      </w:pPr>
      <w:r w:rsidRPr="00A64E0C">
        <w:rPr>
          <w:rFonts w:ascii="Bookman Old Style" w:hAnsi="Bookman Old Style" w:cs="Arial"/>
          <w:b/>
          <w:bCs/>
        </w:rPr>
        <w:lastRenderedPageBreak/>
        <w:t>Parágrafo</w:t>
      </w:r>
      <w:r>
        <w:rPr>
          <w:rFonts w:ascii="Bookman Old Style" w:hAnsi="Bookman Old Style" w:cs="Arial"/>
          <w:b/>
          <w:bCs/>
        </w:rPr>
        <w:t xml:space="preserve"> 2.</w:t>
      </w:r>
      <w:r w:rsidRPr="00E33894">
        <w:rPr>
          <w:rFonts w:ascii="Bookman Old Style" w:hAnsi="Bookman Old Style" w:cs="Arial"/>
        </w:rPr>
        <w:t xml:space="preserve"> Una vez finalice</w:t>
      </w:r>
      <w:r>
        <w:rPr>
          <w:rFonts w:ascii="Bookman Old Style" w:hAnsi="Bookman Old Style" w:cs="Arial"/>
        </w:rPr>
        <w:t xml:space="preserve"> la ventana de aplicación establecida en el artículo </w:t>
      </w:r>
      <w:r>
        <w:rPr>
          <w:rFonts w:ascii="Bookman Old Style" w:hAnsi="Bookman Old Style" w:cs="Arial"/>
        </w:rPr>
        <w:fldChar w:fldCharType="begin"/>
      </w:r>
      <w:r>
        <w:rPr>
          <w:rFonts w:ascii="Bookman Old Style" w:hAnsi="Bookman Old Style" w:cs="Arial"/>
        </w:rPr>
        <w:instrText xml:space="preserve"> REF _Ref156803203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3</w:t>
      </w:r>
      <w:r>
        <w:rPr>
          <w:rFonts w:ascii="Bookman Old Style" w:hAnsi="Bookman Old Style" w:cs="Arial"/>
        </w:rPr>
        <w:fldChar w:fldCharType="end"/>
      </w:r>
      <w:r>
        <w:rPr>
          <w:rFonts w:ascii="Bookman Old Style" w:hAnsi="Bookman Old Style" w:cs="Arial"/>
        </w:rPr>
        <w:t xml:space="preserve"> de la presente resolución,</w:t>
      </w:r>
      <w:r w:rsidRPr="00E33894">
        <w:rPr>
          <w:rFonts w:ascii="Bookman Old Style" w:hAnsi="Bookman Old Style" w:cs="Arial"/>
        </w:rPr>
        <w:t xml:space="preserve"> </w:t>
      </w:r>
      <w:r>
        <w:rPr>
          <w:rFonts w:ascii="Bookman Old Style" w:hAnsi="Bookman Old Style" w:cs="Arial"/>
        </w:rPr>
        <w:t>e</w:t>
      </w:r>
      <w:r w:rsidRPr="00E33894">
        <w:rPr>
          <w:rFonts w:ascii="Bookman Old Style" w:hAnsi="Bookman Old Style" w:cs="Arial"/>
        </w:rPr>
        <w:t xml:space="preserve">l ASIC procederá a cancelar la frontera </w:t>
      </w:r>
      <w:r>
        <w:rPr>
          <w:rFonts w:ascii="Bookman Old Style" w:hAnsi="Bookman Old Style" w:cs="Arial"/>
        </w:rPr>
        <w:t>de generación</w:t>
      </w:r>
      <w:r w:rsidRPr="00B229C5">
        <w:t xml:space="preserve"> </w:t>
      </w:r>
      <w:r w:rsidRPr="00B229C5">
        <w:rPr>
          <w:rFonts w:ascii="Bookman Old Style" w:hAnsi="Bookman Old Style" w:cs="Arial"/>
        </w:rPr>
        <w:t xml:space="preserve">que </w:t>
      </w:r>
      <w:r>
        <w:rPr>
          <w:rFonts w:ascii="Bookman Old Style" w:hAnsi="Bookman Old Style" w:cs="Arial"/>
        </w:rPr>
        <w:t xml:space="preserve">haya sido registrada para aplicar a las disposiciones temporales establecidas en </w:t>
      </w:r>
      <w:r w:rsidRPr="00B229C5">
        <w:rPr>
          <w:rFonts w:ascii="Bookman Old Style" w:hAnsi="Bookman Old Style" w:cs="Arial"/>
        </w:rPr>
        <w:t>esta resolución</w:t>
      </w:r>
      <w:r>
        <w:rPr>
          <w:rFonts w:ascii="Bookman Old Style" w:hAnsi="Bookman Old Style" w:cs="Arial"/>
        </w:rPr>
        <w:t xml:space="preserve"> o, en el caso de que fuera una frontera preexistente, se deberá modificar la </w:t>
      </w:r>
      <w:r w:rsidRPr="0061188C">
        <w:rPr>
          <w:rFonts w:ascii="Bookman Old Style" w:hAnsi="Bookman Old Style" w:cs="Arial"/>
        </w:rPr>
        <w:t xml:space="preserve">potencia máxima declarada </w:t>
      </w:r>
      <w:r>
        <w:rPr>
          <w:rFonts w:ascii="Bookman Old Style" w:hAnsi="Bookman Old Style" w:cs="Arial"/>
        </w:rPr>
        <w:t>o</w:t>
      </w:r>
      <w:r w:rsidRPr="0061188C">
        <w:rPr>
          <w:rFonts w:ascii="Bookman Old Style" w:hAnsi="Bookman Old Style" w:cs="Arial"/>
        </w:rPr>
        <w:t xml:space="preserve"> la capacidad efectiva neta</w:t>
      </w:r>
      <w:r>
        <w:rPr>
          <w:rFonts w:ascii="Bookman Old Style" w:hAnsi="Bookman Old Style" w:cs="Arial"/>
        </w:rPr>
        <w:t xml:space="preserve"> a los valores registrados antes de la aplicación de las disposiciones establecidas en la presente resolución</w:t>
      </w:r>
      <w:r w:rsidRPr="00E33894">
        <w:rPr>
          <w:rFonts w:ascii="Bookman Old Style" w:hAnsi="Bookman Old Style" w:cs="Arial"/>
        </w:rPr>
        <w:t>.</w:t>
      </w:r>
    </w:p>
    <w:p w14:paraId="25467537" w14:textId="77777777" w:rsidR="0075272E" w:rsidRDefault="0075272E" w:rsidP="0075272E">
      <w:pPr>
        <w:numPr>
          <w:ilvl w:val="0"/>
          <w:numId w:val="7"/>
        </w:numPr>
        <w:tabs>
          <w:tab w:val="left" w:pos="1701"/>
          <w:tab w:val="num" w:pos="2150"/>
        </w:tabs>
        <w:spacing w:before="240" w:after="240"/>
        <w:ind w:left="142"/>
        <w:jc w:val="both"/>
        <w:rPr>
          <w:rFonts w:ascii="Bookman Old Style" w:hAnsi="Bookman Old Style" w:cs="Arial"/>
        </w:rPr>
      </w:pPr>
      <w:r w:rsidRPr="005B7DD3">
        <w:rPr>
          <w:rFonts w:ascii="Bookman Old Style" w:hAnsi="Bookman Old Style" w:cs="Arial"/>
          <w:b/>
          <w:bCs/>
        </w:rPr>
        <w:t>Requisitos de la medida.</w:t>
      </w:r>
      <w:r>
        <w:rPr>
          <w:rFonts w:ascii="Bookman Old Style" w:hAnsi="Bookman Old Style" w:cs="Arial"/>
        </w:rPr>
        <w:t xml:space="preserve"> </w:t>
      </w:r>
      <w:r w:rsidRPr="00F95D4D">
        <w:rPr>
          <w:rFonts w:ascii="Bookman Old Style" w:hAnsi="Bookman Old Style" w:cs="Arial"/>
        </w:rPr>
        <w:t>Si para la entrega de excedentes de generación</w:t>
      </w:r>
      <w:r>
        <w:rPr>
          <w:rFonts w:ascii="Bookman Old Style" w:hAnsi="Bookman Old Style" w:cs="Arial"/>
        </w:rPr>
        <w:t xml:space="preserve"> de que trata esta resolución se requiere instalar </w:t>
      </w:r>
      <w:r w:rsidRPr="005B7DD3">
        <w:rPr>
          <w:rFonts w:ascii="Bookman Old Style" w:hAnsi="Bookman Old Style" w:cs="Arial"/>
        </w:rPr>
        <w:t>equipos de medida de las fronteras de</w:t>
      </w:r>
      <w:r>
        <w:rPr>
          <w:rFonts w:ascii="Bookman Old Style" w:hAnsi="Bookman Old Style" w:cs="Arial"/>
        </w:rPr>
        <w:t xml:space="preserve"> generación</w:t>
      </w:r>
      <w:r w:rsidRPr="005B7DD3">
        <w:rPr>
          <w:rFonts w:ascii="Bookman Old Style" w:hAnsi="Bookman Old Style" w:cs="Arial"/>
        </w:rPr>
        <w:t xml:space="preserve"> </w:t>
      </w:r>
      <w:r>
        <w:rPr>
          <w:rFonts w:ascii="Bookman Old Style" w:hAnsi="Bookman Old Style" w:cs="Arial"/>
        </w:rPr>
        <w:t xml:space="preserve">estos </w:t>
      </w:r>
      <w:r w:rsidRPr="005B7DD3">
        <w:rPr>
          <w:rFonts w:ascii="Bookman Old Style" w:hAnsi="Bookman Old Style" w:cs="Arial"/>
        </w:rPr>
        <w:t>podrán ser de</w:t>
      </w:r>
      <w:r>
        <w:rPr>
          <w:rFonts w:ascii="Bookman Old Style" w:hAnsi="Bookman Old Style" w:cs="Arial"/>
        </w:rPr>
        <w:t xml:space="preserve"> cualquiera de los </w:t>
      </w:r>
      <w:r w:rsidRPr="005B7DD3">
        <w:rPr>
          <w:rFonts w:ascii="Bookman Old Style" w:hAnsi="Bookman Old Style" w:cs="Arial"/>
        </w:rPr>
        <w:t>tipo</w:t>
      </w:r>
      <w:r>
        <w:rPr>
          <w:rFonts w:ascii="Bookman Old Style" w:hAnsi="Bookman Old Style" w:cs="Arial"/>
        </w:rPr>
        <w:t>s de puntos de medición</w:t>
      </w:r>
      <w:r w:rsidRPr="005B7DD3">
        <w:rPr>
          <w:rFonts w:ascii="Bookman Old Style" w:hAnsi="Bookman Old Style" w:cs="Arial"/>
        </w:rPr>
        <w:t xml:space="preserve"> establecidos en el artículo 9 de la Resolución CREG 038 de 2014. Adicionalmente, no </w:t>
      </w:r>
      <w:r>
        <w:rPr>
          <w:rFonts w:ascii="Bookman Old Style" w:hAnsi="Bookman Old Style" w:cs="Arial"/>
        </w:rPr>
        <w:t>se exigirá</w:t>
      </w:r>
      <w:r w:rsidRPr="005B7DD3">
        <w:rPr>
          <w:rFonts w:ascii="Bookman Old Style" w:hAnsi="Bookman Old Style" w:cs="Arial"/>
        </w:rPr>
        <w:t xml:space="preserve"> tener el dispositivo de interfaz de comunicación de que trata el literal j) del Anexo 1</w:t>
      </w:r>
      <w:r>
        <w:rPr>
          <w:rFonts w:ascii="Bookman Old Style" w:hAnsi="Bookman Old Style" w:cs="Arial"/>
        </w:rPr>
        <w:t>,</w:t>
      </w:r>
      <w:r w:rsidRPr="005B7DD3">
        <w:rPr>
          <w:rFonts w:ascii="Bookman Old Style" w:hAnsi="Bookman Old Style" w:cs="Arial"/>
        </w:rPr>
        <w:t xml:space="preserve"> ni la medición de respaldo señalada en el artículo 13</w:t>
      </w:r>
      <w:r>
        <w:rPr>
          <w:rFonts w:ascii="Bookman Old Style" w:hAnsi="Bookman Old Style" w:cs="Arial"/>
        </w:rPr>
        <w:t>,</w:t>
      </w:r>
      <w:r w:rsidRPr="005B7DD3">
        <w:rPr>
          <w:rFonts w:ascii="Bookman Old Style" w:hAnsi="Bookman Old Style" w:cs="Arial"/>
        </w:rPr>
        <w:t xml:space="preserve"> de la resolución mencionada. Sin perjuicio de lo anterior, las plantas que cuenten con medición horaria y dispositivo de interfaz </w:t>
      </w:r>
      <w:r>
        <w:rPr>
          <w:rFonts w:ascii="Bookman Old Style" w:hAnsi="Bookman Old Style" w:cs="Arial"/>
        </w:rPr>
        <w:t xml:space="preserve">de </w:t>
      </w:r>
      <w:r w:rsidRPr="005B7DD3">
        <w:rPr>
          <w:rFonts w:ascii="Bookman Old Style" w:hAnsi="Bookman Old Style" w:cs="Arial"/>
        </w:rPr>
        <w:t>comunicaciones deberán reportar la información diaria en los plazos previstos en la regulación vigente.</w:t>
      </w:r>
    </w:p>
    <w:p w14:paraId="1B0B95AD" w14:textId="77777777" w:rsidR="0075272E" w:rsidRPr="005B7DD3" w:rsidRDefault="0075272E" w:rsidP="0075272E">
      <w:pPr>
        <w:tabs>
          <w:tab w:val="left" w:pos="1701"/>
          <w:tab w:val="num" w:pos="2150"/>
        </w:tabs>
        <w:spacing w:before="240" w:after="240"/>
        <w:ind w:left="142"/>
        <w:jc w:val="both"/>
        <w:rPr>
          <w:rFonts w:ascii="Bookman Old Style" w:hAnsi="Bookman Old Style" w:cs="Arial"/>
        </w:rPr>
      </w:pPr>
      <w:r w:rsidRPr="008A2142">
        <w:rPr>
          <w:rFonts w:ascii="Bookman Old Style" w:hAnsi="Bookman Old Style" w:cs="Arial"/>
        </w:rPr>
        <w:t>El reporte al ASIC de la lectura mensual de la frontera de generación de la planta</w:t>
      </w:r>
      <w:r>
        <w:rPr>
          <w:rFonts w:ascii="Bookman Old Style" w:hAnsi="Bookman Old Style" w:cs="Arial"/>
        </w:rPr>
        <w:t xml:space="preserve"> que no cuente con interfaz de comunicación</w:t>
      </w:r>
      <w:r w:rsidRPr="008A2142">
        <w:rPr>
          <w:rFonts w:ascii="Bookman Old Style" w:hAnsi="Bookman Old Style" w:cs="Arial"/>
        </w:rPr>
        <w:t>, debe ser enviad</w:t>
      </w:r>
      <w:r>
        <w:rPr>
          <w:rFonts w:ascii="Bookman Old Style" w:hAnsi="Bookman Old Style" w:cs="Arial"/>
        </w:rPr>
        <w:t>o</w:t>
      </w:r>
      <w:r w:rsidRPr="008A2142">
        <w:rPr>
          <w:rFonts w:ascii="Bookman Old Style" w:hAnsi="Bookman Old Style" w:cs="Arial"/>
        </w:rPr>
        <w:t xml:space="preserve"> por el agente generador que la representa </w:t>
      </w:r>
      <w:r>
        <w:rPr>
          <w:rFonts w:ascii="Bookman Old Style" w:hAnsi="Bookman Old Style" w:cs="Arial"/>
        </w:rPr>
        <w:t>a</w:t>
      </w:r>
      <w:r w:rsidRPr="008A2142">
        <w:rPr>
          <w:rFonts w:ascii="Bookman Old Style" w:hAnsi="Bookman Old Style" w:cs="Arial"/>
        </w:rPr>
        <w:t xml:space="preserve"> </w:t>
      </w:r>
      <w:r w:rsidRPr="00A97853">
        <w:rPr>
          <w:rFonts w:ascii="Bookman Old Style" w:hAnsi="Bookman Old Style" w:cs="Arial"/>
        </w:rPr>
        <w:t xml:space="preserve">más tardar el segundo día calendario del mes siguiente al de </w:t>
      </w:r>
      <w:r>
        <w:rPr>
          <w:rFonts w:ascii="Bookman Old Style" w:hAnsi="Bookman Old Style" w:cs="Arial"/>
        </w:rPr>
        <w:t>la entrega de energía</w:t>
      </w:r>
      <w:r w:rsidRPr="008A2142">
        <w:rPr>
          <w:rFonts w:ascii="Bookman Old Style" w:hAnsi="Bookman Old Style" w:cs="Arial"/>
        </w:rPr>
        <w:t>. Si el agente generador no reporta oportunamente esta información, se tomará un valor de cero</w:t>
      </w:r>
      <w:r>
        <w:rPr>
          <w:rFonts w:ascii="Bookman Old Style" w:hAnsi="Bookman Old Style" w:cs="Arial"/>
        </w:rPr>
        <w:t>.</w:t>
      </w:r>
    </w:p>
    <w:p w14:paraId="2679C765" w14:textId="590E626D" w:rsidR="0075272E" w:rsidRPr="00DA3539" w:rsidRDefault="0075272E" w:rsidP="0075272E">
      <w:pPr>
        <w:numPr>
          <w:ilvl w:val="0"/>
          <w:numId w:val="7"/>
        </w:numPr>
        <w:tabs>
          <w:tab w:val="left" w:pos="1701"/>
          <w:tab w:val="num" w:pos="2150"/>
        </w:tabs>
        <w:spacing w:before="240" w:after="240"/>
        <w:ind w:left="142"/>
        <w:jc w:val="both"/>
        <w:rPr>
          <w:rFonts w:ascii="Bookman Old Style" w:hAnsi="Bookman Old Style" w:cs="Arial"/>
        </w:rPr>
      </w:pPr>
      <w:r w:rsidRPr="00DA3539">
        <w:rPr>
          <w:rFonts w:ascii="Bookman Old Style" w:hAnsi="Bookman Old Style" w:cs="Arial"/>
          <w:b/>
          <w:bCs/>
        </w:rPr>
        <w:t>Restablecimiento de condiciones iniciales.</w:t>
      </w:r>
      <w:r>
        <w:rPr>
          <w:rFonts w:ascii="Bookman Old Style" w:hAnsi="Bookman Old Style" w:cs="Arial"/>
        </w:rPr>
        <w:t xml:space="preserve"> Cuando se cumpla la fecha de finalización de entrega de excedentes de generación, según lo establecido en el artículo </w:t>
      </w:r>
      <w:r>
        <w:rPr>
          <w:rFonts w:ascii="Bookman Old Style" w:hAnsi="Bookman Old Style" w:cs="Arial"/>
        </w:rPr>
        <w:fldChar w:fldCharType="begin"/>
      </w:r>
      <w:r>
        <w:rPr>
          <w:rFonts w:ascii="Bookman Old Style" w:hAnsi="Bookman Old Style" w:cs="Arial"/>
        </w:rPr>
        <w:instrText xml:space="preserve"> REF _Ref156803203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3</w:t>
      </w:r>
      <w:r>
        <w:rPr>
          <w:rFonts w:ascii="Bookman Old Style" w:hAnsi="Bookman Old Style" w:cs="Arial"/>
        </w:rPr>
        <w:fldChar w:fldCharType="end"/>
      </w:r>
      <w:r>
        <w:rPr>
          <w:rFonts w:ascii="Bookman Old Style" w:hAnsi="Bookman Old Style" w:cs="Arial"/>
        </w:rPr>
        <w:t xml:space="preserve"> de la presente resolución, las condiciones que fueron modificadas para atender lo dispuesto en esta norma deberán restablecerse a las condiciones existentes al momento de su aplicación. </w:t>
      </w:r>
    </w:p>
    <w:p w14:paraId="28E3345A" w14:textId="72C99A2F" w:rsidR="0075272E" w:rsidRDefault="0075272E" w:rsidP="0075272E">
      <w:pPr>
        <w:numPr>
          <w:ilvl w:val="0"/>
          <w:numId w:val="7"/>
        </w:numPr>
        <w:tabs>
          <w:tab w:val="left" w:pos="1701"/>
          <w:tab w:val="num" w:pos="2150"/>
        </w:tabs>
        <w:spacing w:before="240" w:after="240"/>
        <w:ind w:left="142"/>
        <w:jc w:val="both"/>
        <w:rPr>
          <w:rFonts w:ascii="Bookman Old Style" w:hAnsi="Bookman Old Style" w:cs="Arial"/>
        </w:rPr>
      </w:pPr>
      <w:r w:rsidRPr="00E30F97">
        <w:rPr>
          <w:rFonts w:ascii="Bookman Old Style" w:hAnsi="Bookman Old Style" w:cs="Arial"/>
          <w:b/>
          <w:bCs/>
        </w:rPr>
        <w:t>Vigencia.</w:t>
      </w:r>
      <w:r w:rsidRPr="00E30F97">
        <w:rPr>
          <w:rFonts w:ascii="Bookman Old Style" w:hAnsi="Bookman Old Style" w:cs="Arial"/>
        </w:rPr>
        <w:t xml:space="preserve"> La presente resolución rige a partir de su publicación en el </w:t>
      </w:r>
      <w:r w:rsidRPr="003F0F63">
        <w:rPr>
          <w:rFonts w:ascii="Bookman Old Style" w:hAnsi="Bookman Old Style" w:cs="Arial"/>
          <w:i/>
          <w:iCs/>
        </w:rPr>
        <w:t>Diario Oficial</w:t>
      </w:r>
      <w:r>
        <w:rPr>
          <w:rFonts w:ascii="Bookman Old Style" w:hAnsi="Bookman Old Style" w:cs="Arial"/>
          <w:i/>
          <w:iCs/>
        </w:rPr>
        <w:t xml:space="preserve"> </w:t>
      </w:r>
      <w:r w:rsidRPr="001F70DB">
        <w:rPr>
          <w:rFonts w:ascii="Bookman Old Style" w:hAnsi="Bookman Old Style" w:cs="Arial"/>
        </w:rPr>
        <w:t xml:space="preserve">y se mantendrá vigente </w:t>
      </w:r>
      <w:r w:rsidRPr="0056264A">
        <w:rPr>
          <w:rFonts w:ascii="Bookman Old Style" w:hAnsi="Bookman Old Style" w:cs="Arial"/>
        </w:rPr>
        <w:t>según las condiciones establecidas para</w:t>
      </w:r>
      <w:r w:rsidRPr="001F70DB">
        <w:rPr>
          <w:rFonts w:ascii="Bookman Old Style" w:hAnsi="Bookman Old Style" w:cs="Arial"/>
        </w:rPr>
        <w:t xml:space="preserve"> la ventana de aplicación</w:t>
      </w:r>
      <w:r>
        <w:rPr>
          <w:rFonts w:ascii="Bookman Old Style" w:hAnsi="Bookman Old Style" w:cs="Arial"/>
          <w:i/>
          <w:iCs/>
        </w:rPr>
        <w:t xml:space="preserve"> </w:t>
      </w:r>
      <w:r>
        <w:rPr>
          <w:rFonts w:ascii="Bookman Old Style" w:hAnsi="Bookman Old Style" w:cs="Arial"/>
        </w:rPr>
        <w:t xml:space="preserve">de que trata el artículo </w:t>
      </w:r>
      <w:r>
        <w:rPr>
          <w:rFonts w:ascii="Bookman Old Style" w:hAnsi="Bookman Old Style" w:cs="Arial"/>
        </w:rPr>
        <w:fldChar w:fldCharType="begin"/>
      </w:r>
      <w:r>
        <w:rPr>
          <w:rFonts w:ascii="Bookman Old Style" w:hAnsi="Bookman Old Style" w:cs="Arial"/>
        </w:rPr>
        <w:instrText xml:space="preserve"> REF _Ref156803203 \r \h \t</w:instrText>
      </w:r>
      <w:r>
        <w:rPr>
          <w:rFonts w:ascii="Bookman Old Style" w:hAnsi="Bookman Old Style" w:cs="Arial"/>
        </w:rPr>
      </w:r>
      <w:r>
        <w:rPr>
          <w:rFonts w:ascii="Bookman Old Style" w:hAnsi="Bookman Old Style" w:cs="Arial"/>
        </w:rPr>
        <w:fldChar w:fldCharType="separate"/>
      </w:r>
      <w:r w:rsidR="00C73D8A">
        <w:rPr>
          <w:rFonts w:ascii="Bookman Old Style" w:hAnsi="Bookman Old Style" w:cs="Arial"/>
        </w:rPr>
        <w:t>3</w:t>
      </w:r>
      <w:r>
        <w:rPr>
          <w:rFonts w:ascii="Bookman Old Style" w:hAnsi="Bookman Old Style" w:cs="Arial"/>
        </w:rPr>
        <w:fldChar w:fldCharType="end"/>
      </w:r>
      <w:r>
        <w:rPr>
          <w:rFonts w:ascii="Bookman Old Style" w:hAnsi="Bookman Old Style" w:cs="Arial"/>
        </w:rPr>
        <w:t xml:space="preserve"> de la presente resolución</w:t>
      </w:r>
      <w:r w:rsidRPr="00E30F97">
        <w:rPr>
          <w:rFonts w:ascii="Bookman Old Style" w:hAnsi="Bookman Old Style" w:cs="Arial"/>
        </w:rPr>
        <w:t>.</w:t>
      </w:r>
      <w:r>
        <w:rPr>
          <w:rFonts w:ascii="Bookman Old Style" w:hAnsi="Bookman Old Style" w:cs="Arial"/>
        </w:rPr>
        <w:t xml:space="preserve"> </w:t>
      </w:r>
    </w:p>
    <w:p w14:paraId="2F5C1F30" w14:textId="77777777" w:rsidR="0075272E" w:rsidRPr="00075394" w:rsidRDefault="0075272E" w:rsidP="0075272E">
      <w:pPr>
        <w:ind w:right="-142"/>
        <w:jc w:val="center"/>
        <w:rPr>
          <w:rFonts w:ascii="Bookman Old Style" w:hAnsi="Bookman Old Style" w:cs="Arial"/>
          <w:color w:val="000000"/>
        </w:rPr>
      </w:pPr>
    </w:p>
    <w:p w14:paraId="7C253AA4" w14:textId="77777777" w:rsidR="0075272E" w:rsidRDefault="0075272E" w:rsidP="0075272E">
      <w:pPr>
        <w:pStyle w:val="Estilo5"/>
        <w:keepNext w:val="0"/>
        <w:widowControl w:val="0"/>
        <w:numPr>
          <w:ilvl w:val="0"/>
          <w:numId w:val="0"/>
        </w:numPr>
        <w:tabs>
          <w:tab w:val="left" w:pos="1560"/>
        </w:tabs>
        <w:spacing w:before="0" w:after="0"/>
        <w:ind w:left="142"/>
        <w:jc w:val="center"/>
        <w:rPr>
          <w:rFonts w:ascii="Bookman Old Style" w:hAnsi="Bookman Old Style" w:cs="Arial"/>
          <w:color w:val="000000"/>
          <w:spacing w:val="-4"/>
          <w:sz w:val="24"/>
          <w:szCs w:val="24"/>
        </w:rPr>
      </w:pPr>
      <w:r>
        <w:rPr>
          <w:rFonts w:ascii="Bookman Old Style" w:hAnsi="Bookman Old Style" w:cs="Arial"/>
          <w:color w:val="000000"/>
          <w:spacing w:val="-4"/>
          <w:sz w:val="24"/>
          <w:szCs w:val="24"/>
        </w:rPr>
        <w:t>PUBLÍQUESE Y CÚMPLASE</w:t>
      </w:r>
    </w:p>
    <w:p w14:paraId="3B47AD59" w14:textId="77777777" w:rsidR="0075272E" w:rsidRDefault="0075272E" w:rsidP="0075272E">
      <w:pPr>
        <w:ind w:left="708" w:hanging="566"/>
        <w:jc w:val="both"/>
        <w:rPr>
          <w:rFonts w:ascii="Bookman Old Style" w:hAnsi="Bookman Old Style"/>
        </w:rPr>
      </w:pPr>
    </w:p>
    <w:p w14:paraId="47D20E44" w14:textId="05CCC780" w:rsidR="0075272E" w:rsidRPr="00934A61" w:rsidRDefault="0075272E" w:rsidP="0075272E">
      <w:pPr>
        <w:spacing w:before="360"/>
        <w:ind w:left="0"/>
        <w:jc w:val="both"/>
        <w:rPr>
          <w:rFonts w:ascii="Bookman Old Style" w:hAnsi="Bookman Old Style"/>
        </w:rPr>
      </w:pPr>
      <w:r w:rsidRPr="00934A61">
        <w:rPr>
          <w:rFonts w:ascii="Bookman Old Style" w:hAnsi="Bookman Old Style"/>
        </w:rPr>
        <w:t>Dada en Bogotá D.C.</w:t>
      </w:r>
      <w:r>
        <w:rPr>
          <w:rFonts w:ascii="Bookman Old Style" w:hAnsi="Bookman Old Style"/>
        </w:rPr>
        <w:t>,</w:t>
      </w:r>
      <w:r w:rsidRPr="00934A61">
        <w:rPr>
          <w:rFonts w:ascii="Bookman Old Style" w:hAnsi="Bookman Old Style"/>
        </w:rPr>
        <w:t xml:space="preserve"> </w:t>
      </w:r>
      <w:r w:rsidR="00645AE8">
        <w:rPr>
          <w:rFonts w:ascii="Bookman Old Style" w:hAnsi="Bookman Old Style"/>
        </w:rPr>
        <w:t xml:space="preserve">a los </w:t>
      </w:r>
      <w:r>
        <w:rPr>
          <w:rFonts w:ascii="Bookman Old Style" w:hAnsi="Bookman Old Style"/>
        </w:rPr>
        <w:t>30</w:t>
      </w:r>
      <w:r w:rsidRPr="00934A61">
        <w:rPr>
          <w:rFonts w:ascii="Bookman Old Style" w:hAnsi="Bookman Old Style"/>
        </w:rPr>
        <w:t xml:space="preserve"> </w:t>
      </w:r>
      <w:r w:rsidR="00645AE8">
        <w:rPr>
          <w:rFonts w:ascii="Bookman Old Style" w:hAnsi="Bookman Old Style"/>
        </w:rPr>
        <w:t xml:space="preserve">días </w:t>
      </w:r>
      <w:r w:rsidRPr="00934A61">
        <w:rPr>
          <w:rFonts w:ascii="Bookman Old Style" w:hAnsi="Bookman Old Style"/>
        </w:rPr>
        <w:t xml:space="preserve">de </w:t>
      </w:r>
      <w:r>
        <w:rPr>
          <w:rFonts w:ascii="Bookman Old Style" w:hAnsi="Bookman Old Style"/>
        </w:rPr>
        <w:t>enero</w:t>
      </w:r>
      <w:r w:rsidRPr="00934A61">
        <w:rPr>
          <w:rFonts w:ascii="Bookman Old Style" w:hAnsi="Bookman Old Style"/>
        </w:rPr>
        <w:t xml:space="preserve"> de 202</w:t>
      </w:r>
      <w:r>
        <w:rPr>
          <w:rFonts w:ascii="Bookman Old Style" w:hAnsi="Bookman Old Style"/>
        </w:rPr>
        <w:t>4</w:t>
      </w:r>
      <w:r w:rsidRPr="00934A61">
        <w:rPr>
          <w:rFonts w:ascii="Bookman Old Style" w:hAnsi="Bookman Old Style"/>
        </w:rPr>
        <w:t>.</w:t>
      </w:r>
    </w:p>
    <w:p w14:paraId="607A25DC" w14:textId="77777777" w:rsidR="0075272E" w:rsidRPr="00934A61" w:rsidRDefault="0075272E" w:rsidP="0075272E">
      <w:pPr>
        <w:spacing w:before="600"/>
        <w:ind w:left="0"/>
        <w:jc w:val="both"/>
        <w:rPr>
          <w:rFonts w:ascii="Bookman Old Style" w:hAnsi="Bookman Old Style"/>
        </w:rPr>
      </w:pPr>
    </w:p>
    <w:tbl>
      <w:tblPr>
        <w:tblStyle w:val="Tablaconcuadrcula"/>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962"/>
        <w:gridCol w:w="4536"/>
      </w:tblGrid>
      <w:tr w:rsidR="0075272E" w:rsidRPr="00934A61" w14:paraId="48F6A399" w14:textId="77777777" w:rsidTr="0075272E">
        <w:tc>
          <w:tcPr>
            <w:tcW w:w="4962" w:type="dxa"/>
          </w:tcPr>
          <w:p w14:paraId="397B2814" w14:textId="785E515F" w:rsidR="0075272E" w:rsidRPr="00200C88" w:rsidRDefault="00645AE8" w:rsidP="00305151">
            <w:pPr>
              <w:spacing w:line="259" w:lineRule="auto"/>
              <w:ind w:left="0"/>
              <w:jc w:val="center"/>
              <w:rPr>
                <w:rFonts w:ascii="Bookman Old Style" w:hAnsi="Bookman Old Style"/>
                <w:b/>
                <w:bCs/>
              </w:rPr>
            </w:pPr>
            <w:r>
              <w:rPr>
                <w:rFonts w:ascii="Bookman Old Style" w:hAnsi="Bookman Old Style"/>
                <w:b/>
                <w:bCs/>
              </w:rPr>
              <w:t xml:space="preserve">OMAR </w:t>
            </w:r>
            <w:r w:rsidR="0075272E">
              <w:rPr>
                <w:rFonts w:ascii="Bookman Old Style" w:hAnsi="Bookman Old Style"/>
                <w:b/>
                <w:bCs/>
              </w:rPr>
              <w:t>ANDRÉS CAMACHO MORALES</w:t>
            </w:r>
          </w:p>
          <w:p w14:paraId="44BD62E7" w14:textId="77777777" w:rsidR="0075272E" w:rsidRPr="00200C88" w:rsidRDefault="0075272E" w:rsidP="00305151">
            <w:pPr>
              <w:spacing w:line="259" w:lineRule="auto"/>
              <w:ind w:left="0"/>
              <w:jc w:val="center"/>
              <w:rPr>
                <w:rFonts w:ascii="Bookman Old Style" w:hAnsi="Bookman Old Style"/>
              </w:rPr>
            </w:pPr>
            <w:r w:rsidRPr="00200C88">
              <w:rPr>
                <w:rFonts w:ascii="Bookman Old Style" w:hAnsi="Bookman Old Style"/>
              </w:rPr>
              <w:t>Ministr</w:t>
            </w:r>
            <w:r>
              <w:rPr>
                <w:rFonts w:ascii="Bookman Old Style" w:hAnsi="Bookman Old Style"/>
              </w:rPr>
              <w:t>o</w:t>
            </w:r>
            <w:r w:rsidRPr="00200C88">
              <w:rPr>
                <w:rFonts w:ascii="Bookman Old Style" w:hAnsi="Bookman Old Style"/>
              </w:rPr>
              <w:t xml:space="preserve"> de Minas y Energía</w:t>
            </w:r>
          </w:p>
          <w:p w14:paraId="30881761" w14:textId="77777777" w:rsidR="0075272E" w:rsidRPr="00934A61" w:rsidRDefault="0075272E" w:rsidP="00305151">
            <w:pPr>
              <w:spacing w:line="259" w:lineRule="auto"/>
              <w:ind w:left="0"/>
              <w:jc w:val="center"/>
              <w:rPr>
                <w:rFonts w:ascii="Bookman Old Style" w:hAnsi="Bookman Old Style"/>
              </w:rPr>
            </w:pPr>
            <w:r w:rsidRPr="00200C88">
              <w:rPr>
                <w:rFonts w:ascii="Bookman Old Style" w:hAnsi="Bookman Old Style"/>
              </w:rPr>
              <w:t>Presidente</w:t>
            </w:r>
          </w:p>
        </w:tc>
        <w:tc>
          <w:tcPr>
            <w:tcW w:w="4536" w:type="dxa"/>
          </w:tcPr>
          <w:p w14:paraId="6FF5A772" w14:textId="632A9A84" w:rsidR="0075272E" w:rsidRPr="00934A61" w:rsidRDefault="0075272E" w:rsidP="00305151">
            <w:pPr>
              <w:spacing w:line="259" w:lineRule="auto"/>
              <w:ind w:left="31"/>
              <w:jc w:val="center"/>
              <w:rPr>
                <w:rFonts w:ascii="Bookman Old Style" w:hAnsi="Bookman Old Style"/>
                <w:b/>
                <w:bCs/>
              </w:rPr>
            </w:pPr>
            <w:r>
              <w:rPr>
                <w:rFonts w:ascii="Bookman Old Style" w:hAnsi="Bookman Old Style"/>
                <w:b/>
                <w:bCs/>
              </w:rPr>
              <w:t>OMAR PRIAS CAICEDO</w:t>
            </w:r>
          </w:p>
          <w:p w14:paraId="3E25BDFF" w14:textId="77777777" w:rsidR="0075272E" w:rsidRPr="00934A61" w:rsidRDefault="0075272E" w:rsidP="00305151">
            <w:pPr>
              <w:spacing w:line="259" w:lineRule="auto"/>
              <w:ind w:left="41"/>
              <w:jc w:val="center"/>
              <w:rPr>
                <w:rFonts w:ascii="Bookman Old Style" w:hAnsi="Bookman Old Style"/>
              </w:rPr>
            </w:pPr>
            <w:r w:rsidRPr="00934A61">
              <w:rPr>
                <w:rFonts w:ascii="Bookman Old Style" w:hAnsi="Bookman Old Style"/>
              </w:rPr>
              <w:t>Director Ejecutiv</w:t>
            </w:r>
            <w:r>
              <w:rPr>
                <w:rFonts w:ascii="Bookman Old Style" w:hAnsi="Bookman Old Style"/>
              </w:rPr>
              <w:t>o</w:t>
            </w:r>
          </w:p>
        </w:tc>
      </w:tr>
    </w:tbl>
    <w:p w14:paraId="185A0E4A" w14:textId="4BE22855" w:rsidR="00E060BE" w:rsidRPr="00E060BE" w:rsidRDefault="00E060BE" w:rsidP="0075272E">
      <w:pPr>
        <w:ind w:left="0"/>
        <w:jc w:val="center"/>
        <w:rPr>
          <w:rFonts w:ascii="Bookman Old Style" w:hAnsi="Bookman Old Style" w:cs="Arial"/>
        </w:rPr>
      </w:pPr>
    </w:p>
    <w:sectPr w:rsidR="00E060BE" w:rsidRPr="00E060BE" w:rsidSect="00B928A7">
      <w:headerReference w:type="default" r:id="rId9"/>
      <w:headerReference w:type="first" r:id="rId10"/>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3E54" w14:textId="77777777" w:rsidR="00B928A7" w:rsidRDefault="00B928A7">
      <w:r>
        <w:separator/>
      </w:r>
    </w:p>
  </w:endnote>
  <w:endnote w:type="continuationSeparator" w:id="0">
    <w:p w14:paraId="0EDA66EF" w14:textId="77777777" w:rsidR="00B928A7" w:rsidRDefault="00B9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F733" w14:textId="77777777" w:rsidR="00B928A7" w:rsidRDefault="00B928A7">
      <w:r>
        <w:separator/>
      </w:r>
    </w:p>
  </w:footnote>
  <w:footnote w:type="continuationSeparator" w:id="0">
    <w:p w14:paraId="2D3265EE" w14:textId="77777777" w:rsidR="00B928A7" w:rsidRDefault="00B9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535F6D5E" w:rsidR="00CC51D4" w:rsidRDefault="00CC51D4" w:rsidP="00951F79">
    <w:pPr>
      <w:pStyle w:val="Ttulo1"/>
      <w:ind w:right="6"/>
      <w:jc w:val="left"/>
      <w:rPr>
        <w:rFonts w:ascii="Bookman Old Style" w:hAnsi="Bookman Old Style" w:cs="Arial"/>
        <w:b w:val="0"/>
        <w:sz w:val="22"/>
        <w:szCs w:val="22"/>
      </w:rPr>
    </w:pPr>
  </w:p>
  <w:p w14:paraId="267D8AF5" w14:textId="4E977480"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645AE8" w:rsidRPr="00645AE8">
      <w:rPr>
        <w:rFonts w:ascii="Bookman Old Style" w:hAnsi="Bookman Old Style" w:cs="Arial"/>
        <w:bCs/>
        <w:sz w:val="22"/>
        <w:szCs w:val="22"/>
        <w:u w:val="single"/>
      </w:rPr>
      <w:t>101 034</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645AE8">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645AE8" w:rsidRPr="00645AE8">
      <w:rPr>
        <w:rFonts w:ascii="Bookman Old Style" w:hAnsi="Bookman Old Style" w:cs="Arial"/>
        <w:bCs/>
        <w:sz w:val="22"/>
        <w:szCs w:val="22"/>
        <w:u w:val="single"/>
      </w:rPr>
      <w:t>30 ENE. 2024</w:t>
    </w:r>
    <w:r w:rsidR="00645AE8">
      <w:rPr>
        <w:rFonts w:ascii="Bookman Old Style" w:hAnsi="Bookman Old Style" w:cs="Arial"/>
        <w:b w:val="0"/>
        <w:sz w:val="22"/>
        <w:szCs w:val="22"/>
      </w:rPr>
      <w:t xml:space="preserve">      </w:t>
    </w:r>
    <w:r w:rsidR="003D076C">
      <w:rPr>
        <w:rFonts w:ascii="Bookman Old Style" w:hAnsi="Bookman Old Style" w:cs="Arial"/>
        <w:b w:val="0"/>
        <w:sz w:val="22"/>
        <w:szCs w:val="22"/>
      </w:rPr>
      <w:tab/>
    </w:r>
    <w:r w:rsidR="00645AE8">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4215060A" w:rsidR="0044318E" w:rsidRPr="00045D3D" w:rsidRDefault="005F133F" w:rsidP="00AD01E4">
    <w:pPr>
      <w:pBdr>
        <w:bottom w:val="single" w:sz="4" w:space="1" w:color="auto"/>
      </w:pBdr>
      <w:ind w:left="142" w:right="148"/>
      <w:rPr>
        <w:b/>
      </w:rPr>
    </w:pPr>
    <w:r w:rsidRPr="005F133F">
      <w:rPr>
        <w:rFonts w:ascii="Bookman Old Style" w:hAnsi="Bookman Old Style"/>
        <w:sz w:val="22"/>
        <w:szCs w:val="22"/>
      </w:rPr>
      <w:t>Por la cual se establecen disposiciones temporales para la entrega de excedentes de generación de energía al SIN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98A69F5C"/>
    <w:lvl w:ilvl="0" w:tplc="3A24FC76">
      <w:start w:val="1"/>
      <w:numFmt w:val="decimal"/>
      <w:lvlText w:val="Artículo %1."/>
      <w:lvlJc w:val="left"/>
      <w:pPr>
        <w:tabs>
          <w:tab w:val="num" w:pos="1440"/>
        </w:tabs>
        <w:ind w:left="0" w:firstLine="0"/>
      </w:pPr>
      <w:rPr>
        <w:rFonts w:ascii="Bookman Old Style" w:hAnsi="Bookman Old Style"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2CA1ECD"/>
    <w:multiLevelType w:val="hybridMultilevel"/>
    <w:tmpl w:val="A71A2E48"/>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669324E"/>
    <w:multiLevelType w:val="hybridMultilevel"/>
    <w:tmpl w:val="36D4C224"/>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7"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21"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3"/>
  </w:num>
  <w:num w:numId="4" w16cid:durableId="1416053916">
    <w:abstractNumId w:val="6"/>
  </w:num>
  <w:num w:numId="5" w16cid:durableId="1460681335">
    <w:abstractNumId w:val="17"/>
  </w:num>
  <w:num w:numId="6" w16cid:durableId="432214895">
    <w:abstractNumId w:val="4"/>
  </w:num>
  <w:num w:numId="7" w16cid:durableId="845751384">
    <w:abstractNumId w:val="3"/>
  </w:num>
  <w:num w:numId="8" w16cid:durableId="29301030">
    <w:abstractNumId w:val="19"/>
  </w:num>
  <w:num w:numId="9" w16cid:durableId="2003662021">
    <w:abstractNumId w:val="18"/>
  </w:num>
  <w:num w:numId="10" w16cid:durableId="2014674860">
    <w:abstractNumId w:val="13"/>
  </w:num>
  <w:num w:numId="11" w16cid:durableId="958032325">
    <w:abstractNumId w:val="24"/>
  </w:num>
  <w:num w:numId="12" w16cid:durableId="1838691975">
    <w:abstractNumId w:val="22"/>
  </w:num>
  <w:num w:numId="13" w16cid:durableId="273679532">
    <w:abstractNumId w:val="11"/>
  </w:num>
  <w:num w:numId="14" w16cid:durableId="2070683866">
    <w:abstractNumId w:val="2"/>
  </w:num>
  <w:num w:numId="15" w16cid:durableId="1975476040">
    <w:abstractNumId w:val="14"/>
  </w:num>
  <w:num w:numId="16" w16cid:durableId="83963299">
    <w:abstractNumId w:val="1"/>
  </w:num>
  <w:num w:numId="17" w16cid:durableId="353533871">
    <w:abstractNumId w:val="10"/>
  </w:num>
  <w:num w:numId="18" w16cid:durableId="788664195">
    <w:abstractNumId w:val="0"/>
  </w:num>
  <w:num w:numId="19" w16cid:durableId="1454788596">
    <w:abstractNumId w:val="21"/>
  </w:num>
  <w:num w:numId="20" w16cid:durableId="1999069271">
    <w:abstractNumId w:val="15"/>
  </w:num>
  <w:num w:numId="21" w16cid:durableId="1075667280">
    <w:abstractNumId w:val="7"/>
  </w:num>
  <w:num w:numId="22" w16cid:durableId="40371620">
    <w:abstractNumId w:val="8"/>
  </w:num>
  <w:num w:numId="23" w16cid:durableId="1318614082">
    <w:abstractNumId w:val="20"/>
  </w:num>
  <w:num w:numId="24" w16cid:durableId="122236007">
    <w:abstractNumId w:val="9"/>
  </w:num>
  <w:num w:numId="25" w16cid:durableId="1700813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1A97"/>
    <w:rsid w:val="00063657"/>
    <w:rsid w:val="00076680"/>
    <w:rsid w:val="00076A1D"/>
    <w:rsid w:val="0008073E"/>
    <w:rsid w:val="00091CDB"/>
    <w:rsid w:val="000A19AC"/>
    <w:rsid w:val="000B2EC9"/>
    <w:rsid w:val="000D26F8"/>
    <w:rsid w:val="00106654"/>
    <w:rsid w:val="0013526C"/>
    <w:rsid w:val="001405C6"/>
    <w:rsid w:val="00141013"/>
    <w:rsid w:val="00192CBF"/>
    <w:rsid w:val="00192FF1"/>
    <w:rsid w:val="001A5F1B"/>
    <w:rsid w:val="001B1C22"/>
    <w:rsid w:val="001B34C6"/>
    <w:rsid w:val="001D7832"/>
    <w:rsid w:val="00210DC1"/>
    <w:rsid w:val="00211D34"/>
    <w:rsid w:val="00214F04"/>
    <w:rsid w:val="002352B9"/>
    <w:rsid w:val="00266CD6"/>
    <w:rsid w:val="002673AC"/>
    <w:rsid w:val="00275DAB"/>
    <w:rsid w:val="002903C0"/>
    <w:rsid w:val="002A782A"/>
    <w:rsid w:val="002B11E2"/>
    <w:rsid w:val="002B24B8"/>
    <w:rsid w:val="002D3AE9"/>
    <w:rsid w:val="002D4510"/>
    <w:rsid w:val="002F0734"/>
    <w:rsid w:val="002F175F"/>
    <w:rsid w:val="002F46E7"/>
    <w:rsid w:val="003101DA"/>
    <w:rsid w:val="003111C3"/>
    <w:rsid w:val="00314757"/>
    <w:rsid w:val="003163BC"/>
    <w:rsid w:val="003211CE"/>
    <w:rsid w:val="0035403A"/>
    <w:rsid w:val="0036394B"/>
    <w:rsid w:val="00366DB6"/>
    <w:rsid w:val="003709B5"/>
    <w:rsid w:val="003759C2"/>
    <w:rsid w:val="00397365"/>
    <w:rsid w:val="003A31F6"/>
    <w:rsid w:val="003C3447"/>
    <w:rsid w:val="003D076C"/>
    <w:rsid w:val="003E78B5"/>
    <w:rsid w:val="00415BAB"/>
    <w:rsid w:val="00415ED2"/>
    <w:rsid w:val="0042068C"/>
    <w:rsid w:val="0044318E"/>
    <w:rsid w:val="00443B35"/>
    <w:rsid w:val="0045488D"/>
    <w:rsid w:val="0047122B"/>
    <w:rsid w:val="00473B7A"/>
    <w:rsid w:val="004960E9"/>
    <w:rsid w:val="004A2E88"/>
    <w:rsid w:val="004A5305"/>
    <w:rsid w:val="004D7634"/>
    <w:rsid w:val="004E611A"/>
    <w:rsid w:val="004F6460"/>
    <w:rsid w:val="005300D3"/>
    <w:rsid w:val="00542A10"/>
    <w:rsid w:val="00544F82"/>
    <w:rsid w:val="005509D2"/>
    <w:rsid w:val="00593C4F"/>
    <w:rsid w:val="005946A8"/>
    <w:rsid w:val="005A3FAF"/>
    <w:rsid w:val="005A4407"/>
    <w:rsid w:val="005A59EF"/>
    <w:rsid w:val="005B1C7E"/>
    <w:rsid w:val="005C6976"/>
    <w:rsid w:val="005F133F"/>
    <w:rsid w:val="005F6F41"/>
    <w:rsid w:val="00625DC6"/>
    <w:rsid w:val="0064391D"/>
    <w:rsid w:val="00645AE8"/>
    <w:rsid w:val="00651821"/>
    <w:rsid w:val="00654384"/>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5FA4"/>
    <w:rsid w:val="00740446"/>
    <w:rsid w:val="007438A9"/>
    <w:rsid w:val="0074491E"/>
    <w:rsid w:val="0075272E"/>
    <w:rsid w:val="0076247A"/>
    <w:rsid w:val="00775964"/>
    <w:rsid w:val="007765FE"/>
    <w:rsid w:val="00794E2E"/>
    <w:rsid w:val="00795BFB"/>
    <w:rsid w:val="007A6181"/>
    <w:rsid w:val="007B2760"/>
    <w:rsid w:val="007B5A60"/>
    <w:rsid w:val="00806C01"/>
    <w:rsid w:val="008148CC"/>
    <w:rsid w:val="008211A4"/>
    <w:rsid w:val="008259C9"/>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51F79"/>
    <w:rsid w:val="00974AB5"/>
    <w:rsid w:val="0098706D"/>
    <w:rsid w:val="009935FB"/>
    <w:rsid w:val="009F4A54"/>
    <w:rsid w:val="009F4BEC"/>
    <w:rsid w:val="009F5874"/>
    <w:rsid w:val="00A06511"/>
    <w:rsid w:val="00A25FD7"/>
    <w:rsid w:val="00A43AFF"/>
    <w:rsid w:val="00A7793A"/>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87806"/>
    <w:rsid w:val="00B87EC9"/>
    <w:rsid w:val="00B928A7"/>
    <w:rsid w:val="00BC38FD"/>
    <w:rsid w:val="00C034CB"/>
    <w:rsid w:val="00C051A8"/>
    <w:rsid w:val="00C054BC"/>
    <w:rsid w:val="00C17897"/>
    <w:rsid w:val="00C409D5"/>
    <w:rsid w:val="00C435C3"/>
    <w:rsid w:val="00C44E5F"/>
    <w:rsid w:val="00C51B7C"/>
    <w:rsid w:val="00C6234B"/>
    <w:rsid w:val="00C63EAE"/>
    <w:rsid w:val="00C73260"/>
    <w:rsid w:val="00C73D8A"/>
    <w:rsid w:val="00C7629F"/>
    <w:rsid w:val="00C8661B"/>
    <w:rsid w:val="00C87E56"/>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83F43"/>
    <w:rsid w:val="00DB182C"/>
    <w:rsid w:val="00DD4F0E"/>
    <w:rsid w:val="00DF0BF0"/>
    <w:rsid w:val="00DF16F5"/>
    <w:rsid w:val="00DF3CA2"/>
    <w:rsid w:val="00DF753F"/>
    <w:rsid w:val="00E01463"/>
    <w:rsid w:val="00E05E0A"/>
    <w:rsid w:val="00E060BE"/>
    <w:rsid w:val="00E534CF"/>
    <w:rsid w:val="00E63920"/>
    <w:rsid w:val="00E81CB4"/>
    <w:rsid w:val="00E8585B"/>
    <w:rsid w:val="00E87F41"/>
    <w:rsid w:val="00EA3F15"/>
    <w:rsid w:val="00EA7847"/>
    <w:rsid w:val="00EB4C2F"/>
    <w:rsid w:val="00EE2E6E"/>
    <w:rsid w:val="00F0759E"/>
    <w:rsid w:val="00F16A43"/>
    <w:rsid w:val="00F46780"/>
    <w:rsid w:val="00F55DB1"/>
    <w:rsid w:val="00F77D2D"/>
    <w:rsid w:val="00F821A3"/>
    <w:rsid w:val="00F8415E"/>
    <w:rsid w:val="00F9314A"/>
    <w:rsid w:val="00F940B2"/>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Estilo1"/>
    <w:qFormat/>
    <w:rsid w:val="0075272E"/>
    <w:pPr>
      <w:keepNext/>
      <w:numPr>
        <w:numId w:val="23"/>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15</TotalTime>
  <Pages>8</Pages>
  <Words>3700</Words>
  <Characters>19515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5</cp:revision>
  <cp:lastPrinted>2024-02-05T20:56:00Z</cp:lastPrinted>
  <dcterms:created xsi:type="dcterms:W3CDTF">2024-02-05T20:43:00Z</dcterms:created>
  <dcterms:modified xsi:type="dcterms:W3CDTF">2024-02-05T20:56:00Z</dcterms:modified>
</cp:coreProperties>
</file>