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7CFAE" w14:textId="383424A3" w:rsidR="00CA77FB" w:rsidRPr="00E060BE" w:rsidRDefault="005B358B" w:rsidP="001A64EA">
      <w:pPr>
        <w:pStyle w:val="Encabezado"/>
        <w:tabs>
          <w:tab w:val="clear" w:pos="8504"/>
          <w:tab w:val="left" w:pos="0"/>
          <w:tab w:val="right" w:pos="9356"/>
        </w:tabs>
        <w:ind w:left="0"/>
        <w:jc w:val="center"/>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15pt;margin-top:-49.15pt;width:38pt;height:39.05pt;z-index:251658240;mso-wrap-edited:f;mso-width-percent:0;mso-height-percent:0;mso-width-percent:0;mso-height-percent:0" fillcolor="#0c9">
            <v:imagedata r:id="rId11" o:title=""/>
          </v:shape>
          <o:OLEObject Type="Embed" ProgID="PBrush" ShapeID="_x0000_s2050" DrawAspect="Content" ObjectID="_1769590230" r:id="rId12"/>
        </w:object>
      </w:r>
    </w:p>
    <w:p w14:paraId="013DBB6E" w14:textId="77777777" w:rsidR="00F32D92" w:rsidRPr="00F32D92" w:rsidRDefault="00F32D92" w:rsidP="00F32D92">
      <w:pPr>
        <w:keepNext/>
        <w:tabs>
          <w:tab w:val="left" w:pos="0"/>
          <w:tab w:val="right" w:pos="9356"/>
        </w:tabs>
        <w:ind w:left="0"/>
        <w:jc w:val="center"/>
        <w:outlineLvl w:val="3"/>
        <w:rPr>
          <w:rFonts w:ascii="Bookman Old Style" w:hAnsi="Bookman Old Style" w:cs="Arial"/>
          <w:bCs/>
          <w:noProof/>
          <w:snapToGrid w:val="0"/>
          <w:color w:val="000000"/>
          <w:spacing w:val="20"/>
        </w:rPr>
      </w:pPr>
      <w:r w:rsidRPr="00F32D92">
        <w:rPr>
          <w:rFonts w:ascii="Bookman Old Style" w:hAnsi="Bookman Old Style" w:cs="Arial"/>
          <w:bCs/>
          <w:snapToGrid w:val="0"/>
          <w:color w:val="000000"/>
          <w:spacing w:val="20"/>
          <w:lang w:val="es-ES_tradnl"/>
        </w:rPr>
        <w:t>Ministerio de Minas y Energía</w:t>
      </w:r>
    </w:p>
    <w:p w14:paraId="384C1200" w14:textId="77777777" w:rsidR="00F32D92" w:rsidRPr="00F32D92" w:rsidRDefault="00F32D92" w:rsidP="00F32D92">
      <w:pPr>
        <w:keepNext/>
        <w:tabs>
          <w:tab w:val="left" w:pos="0"/>
          <w:tab w:val="right" w:pos="9356"/>
        </w:tabs>
        <w:ind w:left="0"/>
        <w:jc w:val="center"/>
        <w:outlineLvl w:val="3"/>
        <w:rPr>
          <w:rFonts w:ascii="Bookman Old Style" w:hAnsi="Bookman Old Style" w:cs="Arial"/>
          <w:bCs/>
          <w:snapToGrid w:val="0"/>
          <w:color w:val="000000"/>
          <w:spacing w:val="20"/>
          <w:lang w:val="es-ES_tradnl"/>
        </w:rPr>
      </w:pPr>
    </w:p>
    <w:p w14:paraId="595B55D4" w14:textId="77777777" w:rsidR="00F32D92" w:rsidRPr="00F32D92" w:rsidRDefault="00F32D92" w:rsidP="00F32D92">
      <w:pPr>
        <w:keepNext/>
        <w:tabs>
          <w:tab w:val="left" w:pos="0"/>
          <w:tab w:val="right" w:pos="9356"/>
        </w:tabs>
        <w:ind w:left="0"/>
        <w:jc w:val="center"/>
        <w:outlineLvl w:val="2"/>
        <w:rPr>
          <w:rFonts w:ascii="Bookman Old Style" w:hAnsi="Bookman Old Style" w:cs="Arial"/>
          <w:b/>
          <w:snapToGrid w:val="0"/>
          <w:color w:val="000000"/>
          <w:spacing w:val="20"/>
          <w:lang w:val="es-ES_tradnl"/>
        </w:rPr>
      </w:pPr>
      <w:r w:rsidRPr="00F32D92">
        <w:rPr>
          <w:rFonts w:ascii="Bookman Old Style" w:hAnsi="Bookman Old Style" w:cs="Arial"/>
          <w:b/>
          <w:snapToGrid w:val="0"/>
          <w:color w:val="000000"/>
          <w:spacing w:val="20"/>
          <w:lang w:val="es-ES_tradnl"/>
        </w:rPr>
        <w:t>COMISIÓN DE REGULACIÓN DE ENERGÍA Y GAS</w:t>
      </w:r>
    </w:p>
    <w:p w14:paraId="1BFD1E58" w14:textId="77777777" w:rsidR="00F32D92" w:rsidRPr="00F32D92" w:rsidRDefault="00F32D92" w:rsidP="00406132">
      <w:pPr>
        <w:keepNext/>
        <w:tabs>
          <w:tab w:val="left" w:pos="0"/>
          <w:tab w:val="right" w:pos="9356"/>
        </w:tabs>
        <w:ind w:left="0"/>
        <w:outlineLvl w:val="4"/>
        <w:rPr>
          <w:rFonts w:ascii="Bookman Old Style" w:hAnsi="Bookman Old Style" w:cs="Arial"/>
          <w:b/>
          <w:snapToGrid w:val="0"/>
          <w:color w:val="000000"/>
          <w:spacing w:val="20"/>
          <w:lang w:val="es-ES_tradnl"/>
        </w:rPr>
      </w:pPr>
    </w:p>
    <w:p w14:paraId="5881DA27" w14:textId="77777777" w:rsidR="00F32D92" w:rsidRDefault="00F32D92" w:rsidP="00F32D92">
      <w:pPr>
        <w:keepNext/>
        <w:tabs>
          <w:tab w:val="left" w:pos="0"/>
          <w:tab w:val="right" w:pos="9356"/>
        </w:tabs>
        <w:ind w:left="0"/>
        <w:jc w:val="center"/>
        <w:outlineLvl w:val="4"/>
        <w:rPr>
          <w:rFonts w:ascii="Bookman Old Style" w:hAnsi="Bookman Old Style" w:cs="Arial"/>
          <w:b/>
          <w:snapToGrid w:val="0"/>
          <w:color w:val="000000"/>
          <w:spacing w:val="20"/>
          <w:sz w:val="28"/>
          <w:szCs w:val="28"/>
          <w:lang w:val="es-ES_tradnl"/>
        </w:rPr>
      </w:pPr>
      <w:r w:rsidRPr="00F32D92">
        <w:rPr>
          <w:rFonts w:ascii="Bookman Old Style" w:hAnsi="Bookman Old Style" w:cs="Arial"/>
          <w:b/>
          <w:snapToGrid w:val="0"/>
          <w:color w:val="000000"/>
          <w:spacing w:val="20"/>
          <w:lang w:val="es-ES_tradnl"/>
        </w:rPr>
        <w:t xml:space="preserve">RESOLUCIÓN No. </w:t>
      </w:r>
      <w:r w:rsidRPr="00406132">
        <w:rPr>
          <w:rFonts w:ascii="Bookman Old Style" w:hAnsi="Bookman Old Style" w:cs="Arial"/>
          <w:b/>
          <w:snapToGrid w:val="0"/>
          <w:color w:val="000000"/>
          <w:spacing w:val="20"/>
          <w:sz w:val="28"/>
          <w:szCs w:val="28"/>
          <w:lang w:val="es-ES_tradnl"/>
        </w:rPr>
        <w:fldChar w:fldCharType="begin"/>
      </w:r>
      <w:r w:rsidRPr="00406132">
        <w:rPr>
          <w:rFonts w:ascii="Bookman Old Style" w:hAnsi="Bookman Old Style" w:cs="Arial"/>
          <w:b/>
          <w:snapToGrid w:val="0"/>
          <w:color w:val="000000"/>
          <w:spacing w:val="20"/>
          <w:sz w:val="28"/>
          <w:szCs w:val="28"/>
          <w:lang w:val="es-ES_tradnl"/>
        </w:rPr>
        <w:instrText xml:space="preserve"> MERGEFIELD  NumeroResolucion  \* MERGEFORMAT </w:instrText>
      </w:r>
      <w:r w:rsidRPr="00406132">
        <w:rPr>
          <w:rFonts w:ascii="Bookman Old Style" w:hAnsi="Bookman Old Style" w:cs="Arial"/>
          <w:b/>
          <w:snapToGrid w:val="0"/>
          <w:color w:val="000000"/>
          <w:spacing w:val="20"/>
          <w:sz w:val="28"/>
          <w:szCs w:val="28"/>
          <w:lang w:val="es-ES_tradnl"/>
        </w:rPr>
        <w:fldChar w:fldCharType="separate"/>
      </w:r>
      <w:r w:rsidRPr="00406132">
        <w:rPr>
          <w:rFonts w:ascii="Bookman Old Style" w:hAnsi="Bookman Old Style" w:cs="Arial"/>
          <w:b/>
          <w:snapToGrid w:val="0"/>
          <w:color w:val="000000"/>
          <w:spacing w:val="20"/>
          <w:sz w:val="28"/>
          <w:szCs w:val="28"/>
          <w:lang w:val="es-ES_tradnl"/>
        </w:rPr>
        <w:t>105 007</w:t>
      </w:r>
      <w:r w:rsidRPr="00406132">
        <w:rPr>
          <w:rFonts w:ascii="Bookman Old Style" w:hAnsi="Bookman Old Style" w:cs="Arial"/>
          <w:b/>
          <w:snapToGrid w:val="0"/>
          <w:color w:val="000000"/>
          <w:spacing w:val="20"/>
          <w:sz w:val="28"/>
          <w:szCs w:val="28"/>
          <w:lang w:val="es-ES_tradnl"/>
        </w:rPr>
        <w:fldChar w:fldCharType="end"/>
      </w:r>
      <w:r w:rsidRPr="00406132">
        <w:rPr>
          <w:rFonts w:ascii="Bookman Old Style" w:hAnsi="Bookman Old Style" w:cs="Arial"/>
          <w:b/>
          <w:snapToGrid w:val="0"/>
          <w:color w:val="000000"/>
          <w:spacing w:val="20"/>
          <w:sz w:val="28"/>
          <w:szCs w:val="28"/>
          <w:lang w:val="es-ES_tradnl"/>
        </w:rPr>
        <w:t xml:space="preserve"> DE </w:t>
      </w:r>
      <w:r w:rsidRPr="00406132">
        <w:rPr>
          <w:rFonts w:ascii="Bookman Old Style" w:hAnsi="Bookman Old Style" w:cs="Arial"/>
          <w:b/>
          <w:snapToGrid w:val="0"/>
          <w:color w:val="000000"/>
          <w:spacing w:val="20"/>
          <w:sz w:val="28"/>
          <w:szCs w:val="28"/>
          <w:lang w:val="es-ES_tradnl"/>
        </w:rPr>
        <w:fldChar w:fldCharType="begin"/>
      </w:r>
      <w:r w:rsidRPr="00406132">
        <w:rPr>
          <w:rFonts w:ascii="Bookman Old Style" w:hAnsi="Bookman Old Style" w:cs="Arial"/>
          <w:b/>
          <w:snapToGrid w:val="0"/>
          <w:color w:val="000000"/>
          <w:spacing w:val="20"/>
          <w:sz w:val="28"/>
          <w:szCs w:val="28"/>
          <w:lang w:val="es-ES_tradnl"/>
        </w:rPr>
        <w:instrText xml:space="preserve"> MERGEFIELD  Anio  \* MERGEFORMAT </w:instrText>
      </w:r>
      <w:r w:rsidRPr="00406132">
        <w:rPr>
          <w:rFonts w:ascii="Bookman Old Style" w:hAnsi="Bookman Old Style" w:cs="Arial"/>
          <w:b/>
          <w:snapToGrid w:val="0"/>
          <w:color w:val="000000"/>
          <w:spacing w:val="20"/>
          <w:sz w:val="28"/>
          <w:szCs w:val="28"/>
          <w:lang w:val="es-ES_tradnl"/>
        </w:rPr>
        <w:fldChar w:fldCharType="separate"/>
      </w:r>
      <w:r w:rsidRPr="00406132">
        <w:rPr>
          <w:rFonts w:ascii="Bookman Old Style" w:hAnsi="Bookman Old Style" w:cs="Arial"/>
          <w:b/>
          <w:noProof/>
          <w:snapToGrid w:val="0"/>
          <w:color w:val="000000"/>
          <w:spacing w:val="20"/>
          <w:sz w:val="28"/>
          <w:szCs w:val="28"/>
          <w:lang w:val="es-ES_tradnl"/>
        </w:rPr>
        <w:t>2024</w:t>
      </w:r>
      <w:r w:rsidRPr="00406132">
        <w:rPr>
          <w:rFonts w:ascii="Bookman Old Style" w:hAnsi="Bookman Old Style" w:cs="Arial"/>
          <w:b/>
          <w:snapToGrid w:val="0"/>
          <w:color w:val="000000"/>
          <w:spacing w:val="20"/>
          <w:sz w:val="28"/>
          <w:szCs w:val="28"/>
          <w:lang w:val="es-ES_tradnl"/>
        </w:rPr>
        <w:fldChar w:fldCharType="end"/>
      </w:r>
    </w:p>
    <w:p w14:paraId="641AB545" w14:textId="77777777" w:rsidR="00406132" w:rsidRDefault="00406132" w:rsidP="00F32D92">
      <w:pPr>
        <w:keepNext/>
        <w:tabs>
          <w:tab w:val="left" w:pos="0"/>
          <w:tab w:val="right" w:pos="9356"/>
        </w:tabs>
        <w:ind w:left="0"/>
        <w:jc w:val="center"/>
        <w:outlineLvl w:val="4"/>
        <w:rPr>
          <w:rFonts w:ascii="Bookman Old Style" w:hAnsi="Bookman Old Style" w:cs="Arial"/>
          <w:b/>
          <w:snapToGrid w:val="0"/>
          <w:color w:val="000000"/>
          <w:spacing w:val="20"/>
          <w:sz w:val="28"/>
          <w:szCs w:val="28"/>
          <w:lang w:val="es-ES_tradnl"/>
        </w:rPr>
      </w:pPr>
    </w:p>
    <w:p w14:paraId="57D77EBA" w14:textId="306A2755" w:rsidR="00CA77FB" w:rsidRPr="00406132" w:rsidRDefault="00406132" w:rsidP="00406132">
      <w:pPr>
        <w:keepNext/>
        <w:tabs>
          <w:tab w:val="left" w:pos="0"/>
          <w:tab w:val="right" w:pos="9356"/>
        </w:tabs>
        <w:ind w:left="0"/>
        <w:jc w:val="center"/>
        <w:outlineLvl w:val="4"/>
        <w:rPr>
          <w:rFonts w:ascii="Bookman Old Style" w:hAnsi="Bookman Old Style" w:cs="Arial"/>
          <w:b/>
          <w:snapToGrid w:val="0"/>
          <w:color w:val="000000"/>
          <w:spacing w:val="20"/>
          <w:lang w:val="es-ES_tradnl"/>
        </w:rPr>
      </w:pPr>
      <w:r w:rsidRPr="00406132">
        <w:rPr>
          <w:rFonts w:ascii="Bookman Old Style" w:hAnsi="Bookman Old Style" w:cs="Arial"/>
          <w:b/>
          <w:snapToGrid w:val="0"/>
          <w:color w:val="000000"/>
          <w:spacing w:val="20"/>
          <w:lang w:val="es-ES_tradnl"/>
        </w:rPr>
        <w:t>(30 ENE. 2024)</w:t>
      </w:r>
    </w:p>
    <w:p w14:paraId="4711DA01" w14:textId="6A0439BC" w:rsidR="00973DCF" w:rsidRPr="00973DCF" w:rsidRDefault="00973DCF" w:rsidP="00406132">
      <w:pPr>
        <w:ind w:left="0"/>
        <w:rPr>
          <w:rFonts w:ascii="Bookman Old Style" w:hAnsi="Bookman Old Style" w:cs="Arial"/>
          <w:color w:val="000000"/>
        </w:rPr>
      </w:pPr>
      <w:bookmarkStart w:id="0" w:name="_Hlk97746723"/>
      <w:bookmarkStart w:id="1" w:name="_Hlk122534081"/>
    </w:p>
    <w:p w14:paraId="7AFEFE1E" w14:textId="568DA9A4" w:rsidR="001F76C7" w:rsidRPr="00902AFC" w:rsidRDefault="001F76C7" w:rsidP="000C7437">
      <w:pPr>
        <w:ind w:left="0"/>
        <w:jc w:val="center"/>
        <w:rPr>
          <w:rFonts w:ascii="Bookman Old Style" w:hAnsi="Bookman Old Style" w:cs="Arial"/>
          <w:color w:val="000000"/>
        </w:rPr>
      </w:pPr>
      <w:r w:rsidRPr="00E30F97">
        <w:rPr>
          <w:rFonts w:ascii="Bookman Old Style" w:hAnsi="Bookman Old Style" w:cs="Arial"/>
          <w:color w:val="000000"/>
        </w:rPr>
        <w:t xml:space="preserve">Por la cual se </w:t>
      </w:r>
      <w:bookmarkEnd w:id="0"/>
      <w:bookmarkEnd w:id="1"/>
      <w:r w:rsidRPr="0091532F">
        <w:rPr>
          <w:rFonts w:ascii="Bookman Old Style" w:hAnsi="Bookman Old Style" w:cs="Arial"/>
          <w:color w:val="000000"/>
        </w:rPr>
        <w:t>modifica</w:t>
      </w:r>
      <w:r>
        <w:rPr>
          <w:rFonts w:ascii="Bookman Old Style" w:hAnsi="Bookman Old Style" w:cs="Arial"/>
          <w:color w:val="000000"/>
        </w:rPr>
        <w:t>n transitoriamente</w:t>
      </w:r>
      <w:r w:rsidRPr="0091532F">
        <w:rPr>
          <w:rFonts w:ascii="Bookman Old Style" w:hAnsi="Bookman Old Style" w:cs="Arial"/>
          <w:color w:val="000000"/>
        </w:rPr>
        <w:t xml:space="preserve"> </w:t>
      </w:r>
      <w:r>
        <w:rPr>
          <w:rFonts w:ascii="Bookman Old Style" w:hAnsi="Bookman Old Style" w:cs="Arial"/>
          <w:color w:val="000000"/>
        </w:rPr>
        <w:t xml:space="preserve">los artículos </w:t>
      </w:r>
      <w:r w:rsidR="000C7437">
        <w:rPr>
          <w:rFonts w:ascii="Bookman Old Style" w:hAnsi="Bookman Old Style" w:cs="Arial"/>
          <w:color w:val="000000"/>
        </w:rPr>
        <w:br/>
      </w:r>
      <w:r>
        <w:rPr>
          <w:rFonts w:ascii="Bookman Old Style" w:hAnsi="Bookman Old Style" w:cs="Arial"/>
          <w:color w:val="000000"/>
        </w:rPr>
        <w:t xml:space="preserve">37 y 38 de la </w:t>
      </w:r>
      <w:r w:rsidRPr="0091532F">
        <w:rPr>
          <w:rFonts w:ascii="Bookman Old Style" w:hAnsi="Bookman Old Style" w:cs="Arial"/>
          <w:color w:val="000000"/>
        </w:rPr>
        <w:t xml:space="preserve">Resolución CREG </w:t>
      </w:r>
      <w:r>
        <w:rPr>
          <w:rFonts w:ascii="Bookman Old Style" w:hAnsi="Bookman Old Style" w:cs="Arial"/>
          <w:color w:val="000000"/>
        </w:rPr>
        <w:t>108</w:t>
      </w:r>
      <w:r w:rsidRPr="0091532F">
        <w:rPr>
          <w:rFonts w:ascii="Bookman Old Style" w:hAnsi="Bookman Old Style" w:cs="Arial"/>
          <w:color w:val="000000"/>
        </w:rPr>
        <w:t xml:space="preserve"> de </w:t>
      </w:r>
      <w:r>
        <w:rPr>
          <w:rFonts w:ascii="Bookman Old Style" w:hAnsi="Bookman Old Style" w:cs="Arial"/>
          <w:color w:val="000000"/>
        </w:rPr>
        <w:t>1997</w:t>
      </w:r>
      <w:r w:rsidRPr="00495A82">
        <w:rPr>
          <w:rFonts w:ascii="Bookman Old Style" w:hAnsi="Bookman Old Style" w:cs="Arial"/>
          <w:color w:val="000000"/>
        </w:rPr>
        <w:t xml:space="preserve"> </w:t>
      </w:r>
    </w:p>
    <w:p w14:paraId="15A71B8E" w14:textId="77777777" w:rsidR="00B351B4" w:rsidRPr="000C7437" w:rsidRDefault="00B351B4" w:rsidP="000C7437">
      <w:pPr>
        <w:ind w:left="0"/>
        <w:jc w:val="center"/>
        <w:rPr>
          <w:rFonts w:ascii="Bookman Old Style" w:hAnsi="Bookman Old Style" w:cs="Arial"/>
          <w:color w:val="000000"/>
        </w:rPr>
      </w:pPr>
    </w:p>
    <w:p w14:paraId="053FCB54" w14:textId="77777777" w:rsidR="00045D3D" w:rsidRPr="000C7437" w:rsidRDefault="00045D3D" w:rsidP="000C7437">
      <w:pPr>
        <w:ind w:left="0"/>
        <w:jc w:val="center"/>
        <w:rPr>
          <w:rFonts w:ascii="Bookman Old Style" w:hAnsi="Bookman Old Style" w:cs="Arial"/>
          <w:color w:val="000000"/>
        </w:rPr>
      </w:pPr>
    </w:p>
    <w:p w14:paraId="7B67FAFA" w14:textId="77777777" w:rsidR="00045D3D" w:rsidRPr="00C435C3" w:rsidRDefault="00045D3D" w:rsidP="000C7437">
      <w:pPr>
        <w:ind w:left="0"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5F144221" w14:textId="77777777" w:rsidR="00045D3D" w:rsidRPr="000C7437" w:rsidRDefault="00045D3D" w:rsidP="000C7437">
      <w:pPr>
        <w:ind w:left="0"/>
        <w:jc w:val="center"/>
        <w:rPr>
          <w:rFonts w:ascii="Bookman Old Style" w:hAnsi="Bookman Old Style" w:cs="Arial"/>
          <w:color w:val="000000"/>
        </w:rPr>
      </w:pPr>
    </w:p>
    <w:p w14:paraId="6EDA2283" w14:textId="77777777" w:rsidR="00045D3D" w:rsidRPr="00C435C3" w:rsidRDefault="00045D3D" w:rsidP="00045D3D">
      <w:pPr>
        <w:pStyle w:val="Textoindependiente3"/>
        <w:ind w:left="0"/>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sidR="002352B9">
        <w:rPr>
          <w:rFonts w:ascii="Bookman Old Style" w:hAnsi="Bookman Old Style"/>
          <w:b w:val="0"/>
        </w:rPr>
        <w:t>l</w:t>
      </w:r>
      <w:r w:rsidRPr="00C435C3">
        <w:rPr>
          <w:rFonts w:ascii="Bookman Old Style" w:hAnsi="Bookman Old Style"/>
          <w:b w:val="0"/>
        </w:rPr>
        <w:t xml:space="preserve">eyes 142 y 143 de 1994, y en desarrollo de los </w:t>
      </w:r>
      <w:r w:rsidR="002352B9">
        <w:rPr>
          <w:rFonts w:ascii="Bookman Old Style" w:hAnsi="Bookman Old Style"/>
          <w:b w:val="0"/>
        </w:rPr>
        <w:t>d</w:t>
      </w:r>
      <w:r w:rsidRPr="00C435C3">
        <w:rPr>
          <w:rFonts w:ascii="Bookman Old Style" w:hAnsi="Bookman Old Style"/>
          <w:b w:val="0"/>
        </w:rPr>
        <w:t>ecretos 1524 y 2253 de 1994.</w:t>
      </w:r>
    </w:p>
    <w:p w14:paraId="416AEFF4" w14:textId="77777777" w:rsidR="00045D3D" w:rsidRPr="000C7437" w:rsidRDefault="00045D3D" w:rsidP="000C7437">
      <w:pPr>
        <w:ind w:left="0"/>
        <w:jc w:val="center"/>
        <w:rPr>
          <w:rFonts w:ascii="Bookman Old Style" w:hAnsi="Bookman Old Style" w:cs="Arial"/>
          <w:color w:val="000000"/>
        </w:rPr>
      </w:pPr>
    </w:p>
    <w:p w14:paraId="3E8440ED" w14:textId="77777777" w:rsidR="00045D3D" w:rsidRPr="000C7437" w:rsidRDefault="00045D3D" w:rsidP="000C7437">
      <w:pPr>
        <w:ind w:left="0"/>
        <w:jc w:val="center"/>
        <w:rPr>
          <w:rFonts w:ascii="Bookman Old Style" w:hAnsi="Bookman Old Style" w:cs="Arial"/>
          <w:color w:val="000000"/>
        </w:rPr>
      </w:pPr>
    </w:p>
    <w:p w14:paraId="72BBA367" w14:textId="45DF5B3E" w:rsidR="00045D3D" w:rsidRPr="00C435C3" w:rsidRDefault="00045D3D" w:rsidP="000C7437">
      <w:pPr>
        <w:ind w:left="0" w:right="51"/>
        <w:jc w:val="center"/>
        <w:rPr>
          <w:rFonts w:ascii="Bookman Old Style" w:hAnsi="Bookman Old Style"/>
          <w:b/>
        </w:rPr>
      </w:pPr>
      <w:r w:rsidRPr="00C435C3">
        <w:rPr>
          <w:rFonts w:ascii="Bookman Old Style" w:hAnsi="Bookman Old Style"/>
          <w:b/>
        </w:rPr>
        <w:t xml:space="preserve">C O N S I D E R A N D </w:t>
      </w:r>
      <w:proofErr w:type="gramStart"/>
      <w:r w:rsidR="007B5A60" w:rsidRPr="00C435C3">
        <w:rPr>
          <w:rFonts w:ascii="Bookman Old Style" w:hAnsi="Bookman Old Style"/>
          <w:b/>
        </w:rPr>
        <w:t>O</w:t>
      </w:r>
      <w:r w:rsidR="00A5703E">
        <w:rPr>
          <w:rFonts w:ascii="Bookman Old Style" w:hAnsi="Bookman Old Style"/>
          <w:b/>
        </w:rPr>
        <w:t xml:space="preserve"> </w:t>
      </w:r>
      <w:r w:rsidR="007B5A60">
        <w:rPr>
          <w:rFonts w:ascii="Bookman Old Style" w:hAnsi="Bookman Old Style"/>
          <w:b/>
        </w:rPr>
        <w:t xml:space="preserve"> Q</w:t>
      </w:r>
      <w:proofErr w:type="gramEnd"/>
      <w:r>
        <w:rPr>
          <w:rFonts w:ascii="Bookman Old Style" w:hAnsi="Bookman Old Style"/>
          <w:b/>
        </w:rPr>
        <w:t xml:space="preserve"> U E</w:t>
      </w:r>
      <w:r w:rsidRPr="00C435C3">
        <w:rPr>
          <w:rFonts w:ascii="Bookman Old Style" w:hAnsi="Bookman Old Style"/>
          <w:b/>
        </w:rPr>
        <w:t>:</w:t>
      </w:r>
    </w:p>
    <w:p w14:paraId="2378A86C" w14:textId="77777777" w:rsidR="00045D3D" w:rsidRPr="000C7437" w:rsidRDefault="00045D3D" w:rsidP="000C7437">
      <w:pPr>
        <w:ind w:left="0"/>
        <w:jc w:val="center"/>
        <w:rPr>
          <w:rFonts w:ascii="Bookman Old Style" w:hAnsi="Bookman Old Style"/>
          <w:bCs/>
        </w:rPr>
      </w:pPr>
    </w:p>
    <w:p w14:paraId="6A27907E" w14:textId="77777777" w:rsidR="001F76C7" w:rsidRPr="005262C3" w:rsidRDefault="001F76C7" w:rsidP="001F76C7">
      <w:pPr>
        <w:spacing w:line="259" w:lineRule="auto"/>
        <w:ind w:left="142" w:right="142"/>
        <w:jc w:val="both"/>
        <w:rPr>
          <w:rFonts w:ascii="Bookman Old Style" w:hAnsi="Bookman Old Style"/>
        </w:rPr>
      </w:pPr>
      <w:r w:rsidRPr="005262C3">
        <w:rPr>
          <w:rFonts w:ascii="Bookman Old Style" w:hAnsi="Bookman Old Style"/>
        </w:rPr>
        <w:t xml:space="preserve">El numeral 9.1 del artículo 9 de la Ley 142 de 1994, establece que los usuarios tienen derecho a </w:t>
      </w:r>
      <w:r w:rsidRPr="00953F10">
        <w:rPr>
          <w:rFonts w:ascii="Bookman Old Style" w:hAnsi="Bookman Old Style"/>
          <w:i/>
          <w:iCs/>
        </w:rPr>
        <w:t>“Obtener de las empresas la medición de sus consumos reales mediante instrumentos tecnológicos apropiados, dentro de plazos y términos que para los efectos fije la comisión reguladora, con atención a la capacidad técnica y financiera de las empresas o las categorías de los municipios establecida por la ley.”</w:t>
      </w:r>
    </w:p>
    <w:p w14:paraId="0ADF150F" w14:textId="77777777" w:rsidR="001F76C7" w:rsidRPr="005262C3" w:rsidRDefault="001F76C7" w:rsidP="001F76C7">
      <w:pPr>
        <w:spacing w:line="259" w:lineRule="auto"/>
        <w:ind w:left="142" w:right="142"/>
        <w:jc w:val="both"/>
        <w:rPr>
          <w:rFonts w:ascii="Bookman Old Style" w:hAnsi="Bookman Old Style"/>
        </w:rPr>
      </w:pPr>
    </w:p>
    <w:p w14:paraId="2B37876A" w14:textId="77777777" w:rsidR="001F76C7" w:rsidRPr="005262C3" w:rsidRDefault="001F76C7" w:rsidP="001F76C7">
      <w:pPr>
        <w:spacing w:line="259" w:lineRule="auto"/>
        <w:ind w:left="142" w:right="142"/>
        <w:jc w:val="both"/>
        <w:rPr>
          <w:rFonts w:ascii="Bookman Old Style" w:hAnsi="Bookman Old Style"/>
        </w:rPr>
      </w:pPr>
      <w:r w:rsidRPr="005262C3">
        <w:rPr>
          <w:rFonts w:ascii="Bookman Old Style" w:hAnsi="Bookman Old Style"/>
        </w:rPr>
        <w:t xml:space="preserve">En ese mismo sentido, el numeral 73.21 del artículo 73 de la Ley 142 de 1994, </w:t>
      </w:r>
      <w:r>
        <w:rPr>
          <w:rFonts w:ascii="Bookman Old Style" w:hAnsi="Bookman Old Style"/>
        </w:rPr>
        <w:t>dispone</w:t>
      </w:r>
      <w:r w:rsidRPr="005262C3">
        <w:rPr>
          <w:rFonts w:ascii="Bookman Old Style" w:hAnsi="Bookman Old Style"/>
        </w:rPr>
        <w:t xml:space="preserve"> que es función de las comisiones de regulación “</w:t>
      </w:r>
      <w:r w:rsidRPr="00953F10">
        <w:rPr>
          <w:rFonts w:ascii="Bookman Old Style" w:hAnsi="Bookman Old Style"/>
          <w:i/>
          <w:iCs/>
        </w:rPr>
        <w:t>Señalar, de acuerdo con la ley, criterios generales sobre abuso de posición dominante en los contratos de servicios públicos, y sobre la protección de los derechos de los usuarios en lo relativo a facturación, comercialización y demás asuntos relativos a la relación de la empresa con el usuario.”</w:t>
      </w:r>
    </w:p>
    <w:p w14:paraId="0C52B25F" w14:textId="77777777" w:rsidR="001F76C7" w:rsidRPr="005262C3" w:rsidRDefault="001F76C7" w:rsidP="001F76C7">
      <w:pPr>
        <w:spacing w:line="259" w:lineRule="auto"/>
        <w:ind w:left="142" w:right="142"/>
        <w:jc w:val="both"/>
        <w:rPr>
          <w:rFonts w:ascii="Bookman Old Style" w:hAnsi="Bookman Old Style"/>
        </w:rPr>
      </w:pPr>
    </w:p>
    <w:p w14:paraId="5B919737" w14:textId="6D9C3E63" w:rsidR="001F76C7" w:rsidRPr="005262C3" w:rsidRDefault="001F76C7" w:rsidP="001F76C7">
      <w:pPr>
        <w:spacing w:line="259" w:lineRule="auto"/>
        <w:ind w:left="142" w:right="142"/>
        <w:jc w:val="both"/>
        <w:rPr>
          <w:rFonts w:ascii="Bookman Old Style" w:hAnsi="Bookman Old Style"/>
        </w:rPr>
      </w:pPr>
      <w:r w:rsidRPr="005262C3">
        <w:rPr>
          <w:rFonts w:ascii="Bookman Old Style" w:hAnsi="Bookman Old Style"/>
        </w:rPr>
        <w:t>Por otro lado, el artículo 146 de la citada ley determina, con respecto a la medición del consumo y el precio en el contrato, que “</w:t>
      </w:r>
      <w:r w:rsidRPr="00953F10">
        <w:rPr>
          <w:rFonts w:ascii="Bookman Old Style" w:hAnsi="Bookman Old Style"/>
          <w:i/>
          <w:iCs/>
        </w:rPr>
        <w:t>La empresa y el suscriptor o usuario tienen derecho a que los consumos se midan; a que se empleen para ello los instrumentos de medida que la técnica haya hecho disponibles; y a que el consumo sea el elemento principal del precio que se cobre al suscriptor o usuario.</w:t>
      </w:r>
      <w:r w:rsidR="00973DCF" w:rsidRPr="00953F10">
        <w:rPr>
          <w:rFonts w:ascii="Bookman Old Style" w:hAnsi="Bookman Old Style"/>
          <w:i/>
          <w:iCs/>
        </w:rPr>
        <w:t xml:space="preserve"> (…)</w:t>
      </w:r>
      <w:r w:rsidRPr="00953F10">
        <w:rPr>
          <w:rFonts w:ascii="Bookman Old Style" w:hAnsi="Bookman Old Style"/>
          <w:i/>
          <w:iCs/>
        </w:rPr>
        <w:t>”</w:t>
      </w:r>
      <w:r w:rsidRPr="005262C3">
        <w:rPr>
          <w:rFonts w:ascii="Bookman Old Style" w:hAnsi="Bookman Old Style"/>
        </w:rPr>
        <w:t xml:space="preserve"> </w:t>
      </w:r>
    </w:p>
    <w:p w14:paraId="7B62F55D" w14:textId="77777777" w:rsidR="001F76C7" w:rsidRPr="005262C3" w:rsidRDefault="001F76C7" w:rsidP="001F76C7">
      <w:pPr>
        <w:spacing w:line="259" w:lineRule="auto"/>
        <w:ind w:left="142" w:right="142"/>
        <w:jc w:val="both"/>
        <w:rPr>
          <w:rFonts w:ascii="Bookman Old Style" w:hAnsi="Bookman Old Style"/>
        </w:rPr>
      </w:pPr>
    </w:p>
    <w:p w14:paraId="1E6BEF91" w14:textId="77777777" w:rsidR="001F76C7" w:rsidRPr="005262C3" w:rsidRDefault="001F76C7" w:rsidP="001F76C7">
      <w:pPr>
        <w:spacing w:line="259" w:lineRule="auto"/>
        <w:ind w:left="142" w:right="142"/>
        <w:jc w:val="both"/>
        <w:rPr>
          <w:rFonts w:ascii="Bookman Old Style" w:hAnsi="Bookman Old Style"/>
        </w:rPr>
      </w:pPr>
      <w:r w:rsidRPr="005262C3">
        <w:rPr>
          <w:rFonts w:ascii="Bookman Old Style" w:hAnsi="Bookman Old Style"/>
        </w:rPr>
        <w:t xml:space="preserve">El artículo 149 de la misma ley dispone que </w:t>
      </w:r>
      <w:r w:rsidRPr="00953F10">
        <w:rPr>
          <w:rFonts w:ascii="Bookman Old Style" w:hAnsi="Bookman Old Style"/>
          <w:i/>
          <w:iCs/>
        </w:rPr>
        <w:t xml:space="preserve">“Al preparar las facturas, es obligación de las empresas investigar las desviaciones significativas frente a consumos anteriores. Mientras se establece la causa, la factura se hará con base en la de períodos anteriores o en la de suscriptores o usuarios en circunstancias semejantes o mediante aforo individual; y al aclarar la causa de </w:t>
      </w:r>
      <w:r w:rsidRPr="00953F10">
        <w:rPr>
          <w:rFonts w:ascii="Bookman Old Style" w:hAnsi="Bookman Old Style"/>
          <w:i/>
          <w:iCs/>
        </w:rPr>
        <w:lastRenderedPageBreak/>
        <w:t>las desviaciones, las diferencias frente a los valores que se cobraron se abonarán o cargarán al suscriptor o usuario, según sea el caso.”</w:t>
      </w:r>
    </w:p>
    <w:p w14:paraId="2DD24E0A" w14:textId="77777777" w:rsidR="001F76C7" w:rsidRPr="005262C3" w:rsidRDefault="001F76C7" w:rsidP="001F76C7">
      <w:pPr>
        <w:spacing w:line="259" w:lineRule="auto"/>
        <w:ind w:left="142" w:right="142"/>
        <w:jc w:val="both"/>
        <w:rPr>
          <w:rFonts w:ascii="Bookman Old Style" w:hAnsi="Bookman Old Style"/>
        </w:rPr>
      </w:pPr>
    </w:p>
    <w:p w14:paraId="7808B098" w14:textId="77777777" w:rsidR="001F76C7" w:rsidRPr="005262C3" w:rsidRDefault="001F76C7" w:rsidP="001F76C7">
      <w:pPr>
        <w:spacing w:line="259" w:lineRule="auto"/>
        <w:ind w:left="142" w:right="142"/>
        <w:jc w:val="both"/>
        <w:rPr>
          <w:rFonts w:ascii="Bookman Old Style" w:hAnsi="Bookman Old Style"/>
        </w:rPr>
      </w:pPr>
      <w:r>
        <w:rPr>
          <w:rFonts w:ascii="Bookman Old Style" w:hAnsi="Bookman Old Style"/>
        </w:rPr>
        <w:t>S</w:t>
      </w:r>
      <w:r w:rsidRPr="005262C3">
        <w:rPr>
          <w:rFonts w:ascii="Bookman Old Style" w:hAnsi="Bookman Old Style"/>
        </w:rPr>
        <w:t xml:space="preserve">eguidamente, en el artículo 150 señala </w:t>
      </w:r>
      <w:r w:rsidRPr="00953F10">
        <w:rPr>
          <w:rFonts w:ascii="Bookman Old Style" w:hAnsi="Bookman Old Style"/>
          <w:i/>
          <w:iCs/>
        </w:rPr>
        <w:t>“Al cabo de cinco meses de haber entregado las facturas, las empresas no podrán cobrar bienes o servicios que no facturaron por error, omisión, o investigación de desviaciones significativas frente a consumos anteriores. Se exceptúan los casos en que se compruebe dolo del suscriptor o usuario.”</w:t>
      </w:r>
    </w:p>
    <w:p w14:paraId="006BA4B1" w14:textId="77777777" w:rsidR="001F76C7" w:rsidRPr="005262C3" w:rsidRDefault="001F76C7" w:rsidP="001F76C7">
      <w:pPr>
        <w:spacing w:line="259" w:lineRule="auto"/>
        <w:ind w:left="142" w:right="142"/>
        <w:jc w:val="both"/>
        <w:rPr>
          <w:rFonts w:ascii="Bookman Old Style" w:hAnsi="Bookman Old Style"/>
        </w:rPr>
      </w:pPr>
    </w:p>
    <w:p w14:paraId="4FB97D88" w14:textId="746F8F6F" w:rsidR="00F84A78" w:rsidRPr="00F84A78" w:rsidRDefault="00F84A78" w:rsidP="001F76C7">
      <w:pPr>
        <w:spacing w:line="259" w:lineRule="auto"/>
        <w:ind w:left="142" w:right="142"/>
        <w:jc w:val="both"/>
        <w:rPr>
          <w:rFonts w:ascii="Bookman Old Style" w:hAnsi="Bookman Old Style"/>
        </w:rPr>
      </w:pPr>
      <w:r w:rsidRPr="00F84A78">
        <w:rPr>
          <w:rFonts w:ascii="Bookman Old Style" w:hAnsi="Bookman Old Style"/>
        </w:rPr>
        <w:t xml:space="preserve">La Procuraduría General de la Nación a través de los Procuradores 47 y 75 Judiciales Administrativos de Valledupar en </w:t>
      </w:r>
      <w:r>
        <w:rPr>
          <w:rFonts w:ascii="Bookman Old Style" w:hAnsi="Bookman Old Style"/>
        </w:rPr>
        <w:t>enero d</w:t>
      </w:r>
      <w:r w:rsidRPr="00F84A78">
        <w:rPr>
          <w:rFonts w:ascii="Bookman Old Style" w:hAnsi="Bookman Old Style"/>
        </w:rPr>
        <w:t xml:space="preserve">el año 2020, en demanda de </w:t>
      </w:r>
      <w:r w:rsidR="00973DCF">
        <w:rPr>
          <w:rFonts w:ascii="Bookman Old Style" w:hAnsi="Bookman Old Style"/>
        </w:rPr>
        <w:t>n</w:t>
      </w:r>
      <w:r w:rsidR="00973DCF" w:rsidRPr="00F84A78">
        <w:rPr>
          <w:rFonts w:ascii="Bookman Old Style" w:hAnsi="Bookman Old Style"/>
        </w:rPr>
        <w:t xml:space="preserve">ulidad </w:t>
      </w:r>
      <w:r w:rsidRPr="00F84A78">
        <w:rPr>
          <w:rFonts w:ascii="Bookman Old Style" w:hAnsi="Bookman Old Style"/>
        </w:rPr>
        <w:t xml:space="preserve">parcial contra el aparte que indica </w:t>
      </w:r>
      <w:r w:rsidRPr="00953F10">
        <w:rPr>
          <w:rFonts w:ascii="Bookman Old Style" w:hAnsi="Bookman Old Style"/>
          <w:i/>
          <w:iCs/>
        </w:rPr>
        <w:t>"los porcentajes que fijen las empresas en las condiciones uniformes del contrato"</w:t>
      </w:r>
      <w:r w:rsidRPr="00F84A78">
        <w:rPr>
          <w:rFonts w:ascii="Bookman Old Style" w:hAnsi="Bookman Old Style"/>
        </w:rPr>
        <w:t xml:space="preserve"> del parágrafo 1 del artículo 37 de la Resolución CREG 108 de 1997, solicitó la medida cautelar de suspensión provisional de los efectos del aparte citado al considerar que las empresas prestadoras de servicios públicos no tienen la función de fijar y aplicar criterios objetivos de variación de consumo, como tampoco puede la </w:t>
      </w:r>
      <w:r w:rsidR="001A64EA">
        <w:rPr>
          <w:rFonts w:ascii="Bookman Old Style" w:hAnsi="Bookman Old Style"/>
        </w:rPr>
        <w:t xml:space="preserve">Comisión de Regulación de Energía y Gas, </w:t>
      </w:r>
      <w:r w:rsidRPr="00F84A78">
        <w:rPr>
          <w:rFonts w:ascii="Bookman Old Style" w:hAnsi="Bookman Old Style"/>
        </w:rPr>
        <w:t>CREG asignar a los prestadores del servicio de energía la facultad legal de fijar los porcentajes de variación de consumo que constituyen desviaciones significativas.</w:t>
      </w:r>
    </w:p>
    <w:p w14:paraId="0542EDC1" w14:textId="77777777" w:rsidR="00F84A78" w:rsidRDefault="00F84A78" w:rsidP="001F76C7">
      <w:pPr>
        <w:spacing w:line="259" w:lineRule="auto"/>
        <w:ind w:left="142" w:right="142"/>
        <w:jc w:val="both"/>
        <w:rPr>
          <w:rFonts w:ascii="Bookman Old Style" w:hAnsi="Bookman Old Style"/>
        </w:rPr>
      </w:pPr>
    </w:p>
    <w:p w14:paraId="3C99DC50" w14:textId="55BFE3AA" w:rsidR="001F76C7" w:rsidRPr="005262C3" w:rsidRDefault="001F76C7" w:rsidP="001F76C7">
      <w:pPr>
        <w:spacing w:line="259" w:lineRule="auto"/>
        <w:ind w:left="142" w:right="142"/>
        <w:jc w:val="both"/>
        <w:rPr>
          <w:rFonts w:ascii="Bookman Old Style" w:hAnsi="Bookman Old Style"/>
        </w:rPr>
      </w:pPr>
      <w:r w:rsidRPr="005262C3">
        <w:rPr>
          <w:rFonts w:ascii="Bookman Old Style" w:hAnsi="Bookman Old Style"/>
        </w:rPr>
        <w:t>Mediante providencia del 5 de abril de 2021, el Consejo de Estado</w:t>
      </w:r>
      <w:r w:rsidR="00D71377">
        <w:rPr>
          <w:rFonts w:ascii="Bookman Old Style" w:hAnsi="Bookman Old Style"/>
        </w:rPr>
        <w:t xml:space="preserve"> (</w:t>
      </w:r>
      <w:r w:rsidRPr="005262C3">
        <w:rPr>
          <w:rFonts w:ascii="Bookman Old Style" w:hAnsi="Bookman Old Style"/>
        </w:rPr>
        <w:t xml:space="preserve">Sala de lo Contencioso Administrativo, Sección Primera, Sala Unitaria, </w:t>
      </w:r>
      <w:proofErr w:type="gramStart"/>
      <w:r w:rsidRPr="005262C3">
        <w:rPr>
          <w:rFonts w:ascii="Bookman Old Style" w:hAnsi="Bookman Old Style"/>
        </w:rPr>
        <w:t>Consejero</w:t>
      </w:r>
      <w:proofErr w:type="gramEnd"/>
      <w:r w:rsidRPr="005262C3">
        <w:rPr>
          <w:rFonts w:ascii="Bookman Old Style" w:hAnsi="Bookman Old Style"/>
        </w:rPr>
        <w:t xml:space="preserve"> Ponente Dr. Oswaldo Giraldo López</w:t>
      </w:r>
      <w:r w:rsidR="00D71377">
        <w:rPr>
          <w:rFonts w:ascii="Bookman Old Style" w:hAnsi="Bookman Old Style"/>
        </w:rPr>
        <w:t>)</w:t>
      </w:r>
      <w:r w:rsidRPr="005262C3">
        <w:rPr>
          <w:rFonts w:ascii="Bookman Old Style" w:hAnsi="Bookman Old Style"/>
        </w:rPr>
        <w:t xml:space="preserve"> decidió decretar la suspensión provisional </w:t>
      </w:r>
      <w:r w:rsidR="00F84A78">
        <w:rPr>
          <w:rFonts w:ascii="Bookman Old Style" w:hAnsi="Bookman Old Style"/>
        </w:rPr>
        <w:t>“</w:t>
      </w:r>
      <w:r w:rsidRPr="005262C3">
        <w:rPr>
          <w:rFonts w:ascii="Bookman Old Style" w:hAnsi="Bookman Old Style"/>
        </w:rPr>
        <w:t>de</w:t>
      </w:r>
      <w:r w:rsidR="00F84A78">
        <w:rPr>
          <w:rFonts w:ascii="Bookman Old Style" w:hAnsi="Bookman Old Style"/>
        </w:rPr>
        <w:t xml:space="preserve"> los efectos del </w:t>
      </w:r>
      <w:r w:rsidRPr="005262C3">
        <w:rPr>
          <w:rFonts w:ascii="Bookman Old Style" w:hAnsi="Bookman Old Style"/>
        </w:rPr>
        <w:t>aparte</w:t>
      </w:r>
      <w:r w:rsidR="00F84A78">
        <w:rPr>
          <w:rFonts w:ascii="Bookman Old Style" w:hAnsi="Bookman Old Style"/>
        </w:rPr>
        <w:t>”</w:t>
      </w:r>
      <w:r w:rsidRPr="005262C3">
        <w:rPr>
          <w:rFonts w:ascii="Bookman Old Style" w:hAnsi="Bookman Old Style"/>
        </w:rPr>
        <w:t xml:space="preserve"> contenido en el parágrafo 1 del artículo 37 de la Resolución CREG 108 de 1997</w:t>
      </w:r>
      <w:r w:rsidR="00C703CB">
        <w:rPr>
          <w:rFonts w:ascii="Bookman Old Style" w:hAnsi="Bookman Old Style"/>
        </w:rPr>
        <w:t xml:space="preserve"> referido </w:t>
      </w:r>
      <w:r w:rsidR="00E804F1">
        <w:rPr>
          <w:rFonts w:ascii="Bookman Old Style" w:hAnsi="Bookman Old Style"/>
        </w:rPr>
        <w:t xml:space="preserve">a </w:t>
      </w:r>
      <w:r w:rsidRPr="00953F10">
        <w:rPr>
          <w:rFonts w:ascii="Bookman Old Style" w:hAnsi="Bookman Old Style"/>
          <w:i/>
          <w:iCs/>
        </w:rPr>
        <w:t>“los porcentajes que fijen las empresas en las condiciones uniformes del contrato”</w:t>
      </w:r>
      <w:r w:rsidR="00C703CB">
        <w:rPr>
          <w:rFonts w:ascii="Bookman Old Style" w:hAnsi="Bookman Old Style"/>
        </w:rPr>
        <w:t xml:space="preserve">. Al respecto, </w:t>
      </w:r>
      <w:r w:rsidRPr="005262C3">
        <w:rPr>
          <w:rFonts w:ascii="Bookman Old Style" w:hAnsi="Bookman Old Style"/>
        </w:rPr>
        <w:t xml:space="preserve">el </w:t>
      </w:r>
      <w:r w:rsidR="00E804F1">
        <w:rPr>
          <w:rFonts w:ascii="Bookman Old Style" w:hAnsi="Bookman Old Style"/>
        </w:rPr>
        <w:t xml:space="preserve">Consejo </w:t>
      </w:r>
      <w:r w:rsidR="00C9687F">
        <w:rPr>
          <w:rFonts w:ascii="Bookman Old Style" w:hAnsi="Bookman Old Style"/>
        </w:rPr>
        <w:t>de Estado señal</w:t>
      </w:r>
      <w:r w:rsidR="00223381">
        <w:rPr>
          <w:rFonts w:ascii="Bookman Old Style" w:hAnsi="Bookman Old Style"/>
        </w:rPr>
        <w:t>ó</w:t>
      </w:r>
      <w:r w:rsidR="00E804F1">
        <w:rPr>
          <w:rFonts w:ascii="Bookman Old Style" w:hAnsi="Bookman Old Style"/>
        </w:rPr>
        <w:t xml:space="preserve"> </w:t>
      </w:r>
      <w:r w:rsidRPr="005262C3">
        <w:rPr>
          <w:rFonts w:ascii="Bookman Old Style" w:hAnsi="Bookman Old Style"/>
        </w:rPr>
        <w:t xml:space="preserve">que </w:t>
      </w:r>
      <w:r w:rsidR="00C9687F" w:rsidRPr="005262C3">
        <w:rPr>
          <w:rFonts w:ascii="Bookman Old Style" w:hAnsi="Bookman Old Style"/>
        </w:rPr>
        <w:t>es responsabilidad de la CREG, al tenor de lo que dispone el numeral 9.1 del artículo 9 de la Ley 142 de 1994</w:t>
      </w:r>
      <w:r w:rsidR="00C9687F">
        <w:rPr>
          <w:rFonts w:ascii="Bookman Old Style" w:hAnsi="Bookman Old Style"/>
        </w:rPr>
        <w:t xml:space="preserve">, indicar que </w:t>
      </w:r>
      <w:r w:rsidR="00C9687F" w:rsidRPr="005262C3">
        <w:rPr>
          <w:rFonts w:ascii="Bookman Old Style" w:hAnsi="Bookman Old Style"/>
        </w:rPr>
        <w:t>puede entenderse como desviación significativa</w:t>
      </w:r>
      <w:r w:rsidR="00C9687F">
        <w:rPr>
          <w:rFonts w:ascii="Bookman Old Style" w:hAnsi="Bookman Old Style"/>
        </w:rPr>
        <w:t xml:space="preserve"> para lo cual debe</w:t>
      </w:r>
      <w:r w:rsidR="00C9687F" w:rsidRPr="005262C3">
        <w:rPr>
          <w:rFonts w:ascii="Bookman Old Style" w:hAnsi="Bookman Old Style"/>
        </w:rPr>
        <w:t xml:space="preserve"> establecer criterios técnicos </w:t>
      </w:r>
      <w:r w:rsidR="00C9687F">
        <w:rPr>
          <w:rFonts w:ascii="Bookman Old Style" w:hAnsi="Bookman Old Style"/>
        </w:rPr>
        <w:t>y el</w:t>
      </w:r>
      <w:r w:rsidR="00C9687F" w:rsidRPr="005262C3">
        <w:rPr>
          <w:rFonts w:ascii="Bookman Old Style" w:hAnsi="Bookman Old Style"/>
        </w:rPr>
        <w:t xml:space="preserve"> porcentaje de dicha variación</w:t>
      </w:r>
      <w:r w:rsidR="00C703CB">
        <w:rPr>
          <w:rFonts w:ascii="Bookman Old Style" w:hAnsi="Bookman Old Style"/>
        </w:rPr>
        <w:t>.</w:t>
      </w:r>
      <w:r w:rsidRPr="005262C3">
        <w:rPr>
          <w:rFonts w:ascii="Bookman Old Style" w:hAnsi="Bookman Old Style"/>
        </w:rPr>
        <w:t xml:space="preserve"> </w:t>
      </w:r>
    </w:p>
    <w:p w14:paraId="75A5C3E0" w14:textId="77777777" w:rsidR="001F76C7" w:rsidRPr="005262C3" w:rsidRDefault="001F76C7" w:rsidP="001F76C7">
      <w:pPr>
        <w:spacing w:line="259" w:lineRule="auto"/>
        <w:ind w:left="142" w:right="142"/>
        <w:jc w:val="both"/>
        <w:rPr>
          <w:rFonts w:ascii="Bookman Old Style" w:hAnsi="Bookman Old Style"/>
        </w:rPr>
      </w:pPr>
    </w:p>
    <w:p w14:paraId="5292685F" w14:textId="713652AC" w:rsidR="00223381" w:rsidRDefault="001F76C7" w:rsidP="001F76C7">
      <w:pPr>
        <w:spacing w:line="259" w:lineRule="auto"/>
        <w:ind w:left="142" w:right="142"/>
        <w:jc w:val="both"/>
        <w:rPr>
          <w:rFonts w:ascii="Bookman Old Style" w:hAnsi="Bookman Old Style"/>
        </w:rPr>
      </w:pPr>
      <w:r w:rsidRPr="005262C3">
        <w:rPr>
          <w:rFonts w:ascii="Bookman Old Style" w:hAnsi="Bookman Old Style"/>
        </w:rPr>
        <w:t xml:space="preserve">Así mismo, </w:t>
      </w:r>
      <w:r w:rsidR="00223381">
        <w:rPr>
          <w:rFonts w:ascii="Bookman Old Style" w:hAnsi="Bookman Old Style"/>
        </w:rPr>
        <w:t>indicó</w:t>
      </w:r>
      <w:r w:rsidR="00223381" w:rsidRPr="005262C3">
        <w:rPr>
          <w:rFonts w:ascii="Bookman Old Style" w:hAnsi="Bookman Old Style"/>
        </w:rPr>
        <w:t xml:space="preserve"> </w:t>
      </w:r>
      <w:r w:rsidR="00924746">
        <w:rPr>
          <w:rFonts w:ascii="Bookman Old Style" w:hAnsi="Bookman Old Style"/>
        </w:rPr>
        <w:t>la Sala</w:t>
      </w:r>
      <w:r w:rsidRPr="005262C3">
        <w:rPr>
          <w:rFonts w:ascii="Bookman Old Style" w:hAnsi="Bookman Old Style"/>
        </w:rPr>
        <w:t xml:space="preserve"> que de lo dispuesto en los artículo</w:t>
      </w:r>
      <w:r w:rsidR="003422C9">
        <w:rPr>
          <w:rFonts w:ascii="Bookman Old Style" w:hAnsi="Bookman Old Style"/>
        </w:rPr>
        <w:t>s</w:t>
      </w:r>
      <w:r w:rsidRPr="005262C3">
        <w:rPr>
          <w:rFonts w:ascii="Bookman Old Style" w:hAnsi="Bookman Old Style"/>
        </w:rPr>
        <w:t xml:space="preserve"> 149 y 150 de la Ley 142 de 1994</w:t>
      </w:r>
      <w:r w:rsidRPr="00142347">
        <w:rPr>
          <w:rFonts w:ascii="Bookman Old Style" w:hAnsi="Bookman Old Style"/>
        </w:rPr>
        <w:t xml:space="preserve">, </w:t>
      </w:r>
      <w:r w:rsidR="00211C1F" w:rsidRPr="00142347">
        <w:rPr>
          <w:rFonts w:ascii="Bookman Old Style" w:hAnsi="Bookman Old Style"/>
        </w:rPr>
        <w:t>se concluye</w:t>
      </w:r>
      <w:r w:rsidR="00211C1F">
        <w:rPr>
          <w:rFonts w:ascii="Bookman Old Style" w:hAnsi="Bookman Old Style"/>
        </w:rPr>
        <w:t xml:space="preserve"> </w:t>
      </w:r>
      <w:r w:rsidR="00E954EA">
        <w:rPr>
          <w:rFonts w:ascii="Bookman Old Style" w:hAnsi="Bookman Old Style"/>
        </w:rPr>
        <w:t>lo siguiente</w:t>
      </w:r>
      <w:r w:rsidR="00223381">
        <w:rPr>
          <w:rFonts w:ascii="Bookman Old Style" w:hAnsi="Bookman Old Style"/>
        </w:rPr>
        <w:t>:</w:t>
      </w:r>
    </w:p>
    <w:p w14:paraId="5441DC17" w14:textId="0FE6C8FD" w:rsidR="00223381" w:rsidRPr="00E954EA" w:rsidRDefault="00223381" w:rsidP="00953F10">
      <w:pPr>
        <w:spacing w:before="180" w:line="259" w:lineRule="auto"/>
        <w:ind w:left="426" w:right="142"/>
        <w:jc w:val="both"/>
        <w:rPr>
          <w:rFonts w:ascii="Bookman Old Style" w:hAnsi="Bookman Old Style"/>
          <w:i/>
          <w:iCs/>
        </w:rPr>
      </w:pPr>
      <w:r w:rsidRPr="00E954EA">
        <w:rPr>
          <w:rFonts w:ascii="Bookman Old Style" w:hAnsi="Bookman Old Style"/>
          <w:i/>
          <w:iCs/>
        </w:rPr>
        <w:t>“Todo lo anterior permite colegir que las empresas prestadoras de servicios públicos tienen la facultad legal de investigar las desviaciones significativas, pero que ésta no conlleva la de establecer el porcentaje de variación que debe entenderse por desviación significativa en el aumento o disminución del consumo del servicio de energía, en tanto que tal porcentaje es el parámetro previo que guía la función de indagación sobre presuntas condiciones anómalas del consumo; criterio éste que debe ser establecido por la autoridad (CREG), y no por un régimen creado por quienes detentan la función de investigación (ESP), en su calidad de parte dentro del contrato de condiciones uniformes”.</w:t>
      </w:r>
    </w:p>
    <w:p w14:paraId="13DE21A8" w14:textId="77777777" w:rsidR="00223381" w:rsidRPr="005262C3" w:rsidRDefault="00223381" w:rsidP="001F76C7">
      <w:pPr>
        <w:spacing w:line="259" w:lineRule="auto"/>
        <w:ind w:left="142" w:right="142"/>
        <w:jc w:val="both"/>
        <w:rPr>
          <w:rFonts w:ascii="Bookman Old Style" w:hAnsi="Bookman Old Style"/>
        </w:rPr>
      </w:pPr>
    </w:p>
    <w:p w14:paraId="2E08DE18" w14:textId="7E5F0137" w:rsidR="001F76C7" w:rsidRPr="005262C3" w:rsidRDefault="001F76C7" w:rsidP="001F76C7">
      <w:pPr>
        <w:spacing w:line="259" w:lineRule="auto"/>
        <w:ind w:left="142" w:right="142"/>
        <w:jc w:val="both"/>
        <w:rPr>
          <w:rFonts w:ascii="Bookman Old Style" w:hAnsi="Bookman Old Style"/>
        </w:rPr>
      </w:pPr>
      <w:r w:rsidRPr="005262C3">
        <w:rPr>
          <w:rFonts w:ascii="Bookman Old Style" w:hAnsi="Bookman Old Style"/>
        </w:rPr>
        <w:t>El 15 de abril de 2021, la CREG, a través de apoderado judicial</w:t>
      </w:r>
      <w:r w:rsidR="000919BD">
        <w:rPr>
          <w:rFonts w:ascii="Bookman Old Style" w:hAnsi="Bookman Old Style"/>
        </w:rPr>
        <w:t>,</w:t>
      </w:r>
      <w:r w:rsidRPr="005262C3">
        <w:rPr>
          <w:rFonts w:ascii="Bookman Old Style" w:hAnsi="Bookman Old Style"/>
        </w:rPr>
        <w:t xml:space="preserve"> interpuso ante el Consejo de Estado recurso de súplica contra el auto que decretó la </w:t>
      </w:r>
      <w:r w:rsidRPr="005262C3">
        <w:rPr>
          <w:rFonts w:ascii="Bookman Old Style" w:hAnsi="Bookman Old Style"/>
        </w:rPr>
        <w:lastRenderedPageBreak/>
        <w:t xml:space="preserve">suspensión provisional de los efectos de la norma demandada, solicitando que se </w:t>
      </w:r>
      <w:r w:rsidRPr="0022607B">
        <w:rPr>
          <w:rFonts w:ascii="Bookman Old Style" w:hAnsi="Bookman Old Style"/>
        </w:rPr>
        <w:t>revo</w:t>
      </w:r>
      <w:r w:rsidR="00922F74" w:rsidRPr="0022607B">
        <w:rPr>
          <w:rFonts w:ascii="Bookman Old Style" w:hAnsi="Bookman Old Style"/>
        </w:rPr>
        <w:t>cara</w:t>
      </w:r>
      <w:r w:rsidRPr="005262C3">
        <w:rPr>
          <w:rFonts w:ascii="Bookman Old Style" w:hAnsi="Bookman Old Style"/>
        </w:rPr>
        <w:t xml:space="preserve"> la decisión impugnada y se </w:t>
      </w:r>
      <w:r w:rsidR="00922F74" w:rsidRPr="0022607B">
        <w:rPr>
          <w:rFonts w:ascii="Bookman Old Style" w:hAnsi="Bookman Old Style"/>
        </w:rPr>
        <w:t>negara</w:t>
      </w:r>
      <w:r w:rsidR="00922F74" w:rsidRPr="005262C3">
        <w:rPr>
          <w:rFonts w:ascii="Bookman Old Style" w:hAnsi="Bookman Old Style"/>
        </w:rPr>
        <w:t xml:space="preserve"> </w:t>
      </w:r>
      <w:r w:rsidRPr="005262C3">
        <w:rPr>
          <w:rFonts w:ascii="Bookman Old Style" w:hAnsi="Bookman Old Style"/>
        </w:rPr>
        <w:t>la medida cautelar, bajo el argumento de que la violación del numeral 9.1 del artículo 9 de la Ley 142 de 1994, en la que se sostiene</w:t>
      </w:r>
      <w:r w:rsidR="001A64EA">
        <w:rPr>
          <w:rFonts w:ascii="Bookman Old Style" w:hAnsi="Bookman Old Style"/>
        </w:rPr>
        <w:t xml:space="preserve"> </w:t>
      </w:r>
      <w:r w:rsidRPr="005262C3">
        <w:rPr>
          <w:rFonts w:ascii="Bookman Old Style" w:hAnsi="Bookman Old Style"/>
        </w:rPr>
        <w:t>la decisión impugnada</w:t>
      </w:r>
      <w:r w:rsidR="001A64EA">
        <w:rPr>
          <w:rFonts w:ascii="Bookman Old Style" w:hAnsi="Bookman Old Style"/>
        </w:rPr>
        <w:t>,</w:t>
      </w:r>
      <w:r w:rsidRPr="005262C3">
        <w:rPr>
          <w:rFonts w:ascii="Bookman Old Style" w:hAnsi="Bookman Old Style"/>
        </w:rPr>
        <w:t xml:space="preserve"> no surge de la confrontación directa y objetiva de la norma demandada con la norma superior, sino de la interpretación extensiva que se hace de esta última para aplicarla a la investigación de las desviaciones significativas.</w:t>
      </w:r>
    </w:p>
    <w:p w14:paraId="253D1CFB" w14:textId="77777777" w:rsidR="001F76C7" w:rsidRPr="005262C3" w:rsidRDefault="001F76C7" w:rsidP="001F76C7">
      <w:pPr>
        <w:spacing w:line="259" w:lineRule="auto"/>
        <w:ind w:left="142" w:right="142"/>
        <w:jc w:val="both"/>
        <w:rPr>
          <w:rFonts w:ascii="Bookman Old Style" w:hAnsi="Bookman Old Style"/>
        </w:rPr>
      </w:pPr>
    </w:p>
    <w:p w14:paraId="348D8FFE" w14:textId="77777777" w:rsidR="001F76C7" w:rsidRPr="005262C3" w:rsidRDefault="001F76C7" w:rsidP="001F76C7">
      <w:pPr>
        <w:spacing w:line="259" w:lineRule="auto"/>
        <w:ind w:left="142" w:right="142"/>
        <w:jc w:val="both"/>
        <w:rPr>
          <w:rFonts w:ascii="Bookman Old Style" w:hAnsi="Bookman Old Style"/>
        </w:rPr>
      </w:pPr>
      <w:r w:rsidRPr="005262C3">
        <w:rPr>
          <w:rFonts w:ascii="Bookman Old Style" w:hAnsi="Bookman Old Style"/>
        </w:rPr>
        <w:t xml:space="preserve">En providencia proferida el 24 de marzo de 2023 por la Sección Primera, Sala de lo Contencioso Administrativo del Consejo de Estado, </w:t>
      </w:r>
      <w:proofErr w:type="gramStart"/>
      <w:r w:rsidRPr="005262C3">
        <w:rPr>
          <w:rFonts w:ascii="Bookman Old Style" w:hAnsi="Bookman Old Style"/>
        </w:rPr>
        <w:t>Consejera</w:t>
      </w:r>
      <w:proofErr w:type="gramEnd"/>
      <w:r w:rsidRPr="005262C3">
        <w:rPr>
          <w:rFonts w:ascii="Bookman Old Style" w:hAnsi="Bookman Old Style"/>
        </w:rPr>
        <w:t xml:space="preserve"> Ponente Dra. Nubia </w:t>
      </w:r>
      <w:proofErr w:type="spellStart"/>
      <w:r w:rsidRPr="005262C3">
        <w:rPr>
          <w:rFonts w:ascii="Bookman Old Style" w:hAnsi="Bookman Old Style"/>
        </w:rPr>
        <w:t>Margoth</w:t>
      </w:r>
      <w:proofErr w:type="spellEnd"/>
      <w:r w:rsidRPr="005262C3">
        <w:rPr>
          <w:rFonts w:ascii="Bookman Old Style" w:hAnsi="Bookman Old Style"/>
        </w:rPr>
        <w:t xml:space="preserve"> Peña Garzón, se resolvió el recurso de súplica confirmando la providencia impugnada, concluyendo la Sala que “asistió razón al Consejero ponente al acceder al decreto de la medida cautelar deprecada”, señalando, entre otros argumentos:</w:t>
      </w:r>
    </w:p>
    <w:p w14:paraId="0001EA5C" w14:textId="2AB5D2F9" w:rsidR="001F76C7" w:rsidRPr="000C7437" w:rsidRDefault="001F76C7" w:rsidP="00953F10">
      <w:pPr>
        <w:spacing w:before="180" w:line="259" w:lineRule="auto"/>
        <w:ind w:left="426" w:right="142"/>
        <w:jc w:val="both"/>
        <w:rPr>
          <w:rFonts w:ascii="Bookman Old Style" w:hAnsi="Bookman Old Style"/>
          <w:i/>
          <w:iCs/>
        </w:rPr>
      </w:pPr>
      <w:r w:rsidRPr="000C7437">
        <w:rPr>
          <w:rFonts w:ascii="Bookman Old Style" w:hAnsi="Bookman Old Style"/>
          <w:i/>
          <w:iCs/>
        </w:rPr>
        <w:t xml:space="preserve">“En efecto, el artículo 73.21 de la Ley 142 establece que corresponde a las Comisiones de Regulación “[…] señalar, de acuerdo con la ley, criterios generales sobre abuso de posición dominante en los contratos de servicios públicos, y sobre la protección de los derechos de los usuarios en lo relativo a facturación, comercialización y demás asuntos relativos a la relación de la empresa con el usuario […]”, la cual, conforme al análisis en conjunto con lo previsto en los artículos 9° y 146 de la Ley 142, llevaría, en principio, a la conclusión de que correspondería a la CREG y no a la empresa prestadora del servicio, establecer los términos en que debe entenderse que existió una variación significativa del consumo, con miras a garantizar la protección del derecho del usuario a que este sea medido adecuadamente.” </w:t>
      </w:r>
    </w:p>
    <w:p w14:paraId="64888736" w14:textId="77777777" w:rsidR="001F76C7" w:rsidRPr="005262C3" w:rsidRDefault="001F76C7" w:rsidP="001F76C7">
      <w:pPr>
        <w:spacing w:line="259" w:lineRule="auto"/>
        <w:ind w:left="142" w:right="142"/>
        <w:jc w:val="both"/>
        <w:rPr>
          <w:rFonts w:ascii="Bookman Old Style" w:hAnsi="Bookman Old Style"/>
        </w:rPr>
      </w:pPr>
    </w:p>
    <w:p w14:paraId="64B820DF" w14:textId="7E93F9CE" w:rsidR="001F76C7" w:rsidRDefault="001F76C7" w:rsidP="001F76C7">
      <w:pPr>
        <w:spacing w:line="259" w:lineRule="auto"/>
        <w:ind w:left="142" w:right="142"/>
        <w:jc w:val="both"/>
        <w:rPr>
          <w:rFonts w:ascii="Bookman Old Style" w:hAnsi="Bookman Old Style"/>
        </w:rPr>
      </w:pPr>
      <w:r w:rsidRPr="005262C3">
        <w:rPr>
          <w:rFonts w:ascii="Bookman Old Style" w:hAnsi="Bookman Old Style"/>
        </w:rPr>
        <w:t xml:space="preserve">De conformidad con lo expuesto, la CREG ha estudiado alternativas para establecer los términos en que debe </w:t>
      </w:r>
      <w:r w:rsidR="00E954EA">
        <w:rPr>
          <w:rFonts w:ascii="Bookman Old Style" w:hAnsi="Bookman Old Style"/>
        </w:rPr>
        <w:t xml:space="preserve">establecerse la existencia de </w:t>
      </w:r>
      <w:r w:rsidRPr="005262C3">
        <w:rPr>
          <w:rFonts w:ascii="Bookman Old Style" w:hAnsi="Bookman Old Style"/>
        </w:rPr>
        <w:t>una variación</w:t>
      </w:r>
      <w:r w:rsidR="00E954EA">
        <w:rPr>
          <w:rFonts w:ascii="Bookman Old Style" w:hAnsi="Bookman Old Style"/>
        </w:rPr>
        <w:t xml:space="preserve"> o desviación</w:t>
      </w:r>
      <w:r w:rsidRPr="005262C3">
        <w:rPr>
          <w:rFonts w:ascii="Bookman Old Style" w:hAnsi="Bookman Old Style"/>
        </w:rPr>
        <w:t xml:space="preserve"> significativa del consumo en los servicios de energía eléctrica y gas combustible, para que, mientras subsista la medida cautelar, los prestadores de servicios tengan un parámetro que les permita investigar las desviaciones significativas en cumplimiento de lo dispuesto en el artículo 149 de la Ley 142 de 1994.</w:t>
      </w:r>
    </w:p>
    <w:p w14:paraId="4BDA20B3" w14:textId="77777777" w:rsidR="007C6C69" w:rsidRDefault="007C6C69" w:rsidP="001F76C7">
      <w:pPr>
        <w:spacing w:line="259" w:lineRule="auto"/>
        <w:ind w:left="142" w:right="142"/>
        <w:jc w:val="both"/>
        <w:rPr>
          <w:rFonts w:ascii="Bookman Old Style" w:hAnsi="Bookman Old Style"/>
        </w:rPr>
      </w:pPr>
    </w:p>
    <w:p w14:paraId="046B7C2D" w14:textId="1DBE9C62" w:rsidR="007C6C69" w:rsidRPr="007C6C69" w:rsidRDefault="007C6C69" w:rsidP="007B4D7A">
      <w:pPr>
        <w:spacing w:line="259" w:lineRule="auto"/>
        <w:ind w:left="142" w:right="142"/>
        <w:jc w:val="both"/>
        <w:rPr>
          <w:rFonts w:ascii="Bookman Old Style" w:hAnsi="Bookman Old Style"/>
        </w:rPr>
      </w:pPr>
      <w:r>
        <w:rPr>
          <w:rFonts w:ascii="Bookman Old Style" w:hAnsi="Bookman Old Style"/>
        </w:rPr>
        <w:t>En aras de proteger a los usuarios se requiere establecer un mecanismo que le permita a estos</w:t>
      </w:r>
      <w:r w:rsidR="001A64EA">
        <w:rPr>
          <w:rFonts w:ascii="Bookman Old Style" w:hAnsi="Bookman Old Style"/>
        </w:rPr>
        <w:t>,</w:t>
      </w:r>
      <w:r>
        <w:rPr>
          <w:rFonts w:ascii="Bookman Old Style" w:hAnsi="Bookman Old Style"/>
        </w:rPr>
        <w:t xml:space="preserve"> conocer como la empresa que le presta el servicio va a hacer un seguimiento de sus consumos y así garantizarle el debido proceso dentro de la investigación a que haya lugar por desviaciones significativas.</w:t>
      </w:r>
    </w:p>
    <w:p w14:paraId="4E9ED091" w14:textId="77777777" w:rsidR="00045D3D" w:rsidRDefault="00045D3D" w:rsidP="007B4D7A">
      <w:pPr>
        <w:spacing w:line="259" w:lineRule="auto"/>
        <w:ind w:left="142" w:right="142"/>
        <w:jc w:val="both"/>
        <w:rPr>
          <w:rFonts w:ascii="Bookman Old Style" w:hAnsi="Bookman Old Style"/>
        </w:rPr>
      </w:pPr>
    </w:p>
    <w:p w14:paraId="0804D10F" w14:textId="29EF9342" w:rsidR="007C6C69" w:rsidRDefault="007C6C69" w:rsidP="007B4D7A">
      <w:pPr>
        <w:spacing w:line="259" w:lineRule="auto"/>
        <w:ind w:left="142" w:right="142"/>
        <w:jc w:val="both"/>
        <w:rPr>
          <w:rFonts w:ascii="Bookman Old Style" w:hAnsi="Bookman Old Style"/>
        </w:rPr>
      </w:pPr>
      <w:r>
        <w:rPr>
          <w:rFonts w:ascii="Bookman Old Style" w:hAnsi="Bookman Old Style"/>
        </w:rPr>
        <w:t>Mediante la Resolución CREG 705 002 de 2023 se sometió a consulta la propuesta para establecer los parámetros que deben aplicar las empresas para iniciar una investigación por desviaciones significativas.</w:t>
      </w:r>
    </w:p>
    <w:p w14:paraId="0199D4B4" w14:textId="77777777" w:rsidR="007C6C69" w:rsidRDefault="007C6C69" w:rsidP="007B4D7A">
      <w:pPr>
        <w:spacing w:line="259" w:lineRule="auto"/>
        <w:ind w:left="142" w:right="142"/>
        <w:jc w:val="both"/>
        <w:rPr>
          <w:rFonts w:ascii="Bookman Old Style" w:hAnsi="Bookman Old Style"/>
        </w:rPr>
      </w:pPr>
    </w:p>
    <w:p w14:paraId="52A3E23B" w14:textId="7A1659D8" w:rsidR="007C6C69" w:rsidRDefault="001A64EA" w:rsidP="007B4D7A">
      <w:pPr>
        <w:spacing w:line="259" w:lineRule="auto"/>
        <w:ind w:left="142" w:right="142"/>
        <w:jc w:val="both"/>
        <w:rPr>
          <w:rFonts w:ascii="Bookman Old Style" w:hAnsi="Bookman Old Style"/>
        </w:rPr>
      </w:pPr>
      <w:r>
        <w:rPr>
          <w:rFonts w:ascii="Bookman Old Style" w:hAnsi="Bookman Old Style"/>
        </w:rPr>
        <w:t>Frente a</w:t>
      </w:r>
      <w:r w:rsidR="007C6C69">
        <w:rPr>
          <w:rFonts w:ascii="Bookman Old Style" w:hAnsi="Bookman Old Style"/>
        </w:rPr>
        <w:t xml:space="preserve"> esta propuesta se recibieron comentarios con las siguientes comunicaciones</w:t>
      </w:r>
    </w:p>
    <w:p w14:paraId="4ABC86CF" w14:textId="77777777" w:rsidR="007C6C69" w:rsidRDefault="007C6C69" w:rsidP="007B4D7A">
      <w:pPr>
        <w:spacing w:line="259" w:lineRule="auto"/>
        <w:ind w:left="142" w:right="142"/>
        <w:jc w:val="both"/>
        <w:rPr>
          <w:rFonts w:ascii="Bookman Old Style" w:hAnsi="Bookman Old Style"/>
        </w:rPr>
      </w:pPr>
    </w:p>
    <w:tbl>
      <w:tblPr>
        <w:tblW w:w="9214" w:type="dxa"/>
        <w:tblInd w:w="142" w:type="dxa"/>
        <w:tblCellMar>
          <w:left w:w="70" w:type="dxa"/>
          <w:right w:w="70" w:type="dxa"/>
        </w:tblCellMar>
        <w:tblLook w:val="04A0" w:firstRow="1" w:lastRow="0" w:firstColumn="1" w:lastColumn="0" w:noHBand="0" w:noVBand="1"/>
      </w:tblPr>
      <w:tblGrid>
        <w:gridCol w:w="709"/>
        <w:gridCol w:w="2126"/>
        <w:gridCol w:w="6379"/>
      </w:tblGrid>
      <w:tr w:rsidR="008E7F6F" w:rsidRPr="008E7F6F" w14:paraId="54B49607" w14:textId="77777777" w:rsidTr="007B4D7A">
        <w:trPr>
          <w:trHeight w:val="540"/>
        </w:trPr>
        <w:tc>
          <w:tcPr>
            <w:tcW w:w="709" w:type="dxa"/>
            <w:tcBorders>
              <w:top w:val="nil"/>
              <w:left w:val="nil"/>
              <w:bottom w:val="nil"/>
              <w:right w:val="nil"/>
            </w:tcBorders>
            <w:shd w:val="clear" w:color="auto" w:fill="auto"/>
            <w:noWrap/>
            <w:vAlign w:val="bottom"/>
            <w:hideMark/>
          </w:tcPr>
          <w:p w14:paraId="6C05F71B" w14:textId="77777777" w:rsidR="008E7F6F" w:rsidRPr="008E7F6F" w:rsidRDefault="008E7F6F" w:rsidP="008E7F6F">
            <w:pPr>
              <w:ind w:left="0"/>
              <w:rPr>
                <w:rFonts w:ascii="Bookman Old Style" w:hAnsi="Bookman Old Style"/>
                <w:sz w:val="20"/>
                <w:szCs w:val="20"/>
                <w:lang w:val="es-CO" w:eastAsia="es-CO"/>
              </w:rPr>
            </w:pPr>
          </w:p>
        </w:tc>
        <w:tc>
          <w:tcPr>
            <w:tcW w:w="2126" w:type="dxa"/>
            <w:tcBorders>
              <w:top w:val="single" w:sz="4" w:space="0" w:color="auto"/>
              <w:left w:val="single" w:sz="4" w:space="0" w:color="auto"/>
              <w:bottom w:val="nil"/>
              <w:right w:val="single" w:sz="4" w:space="0" w:color="auto"/>
            </w:tcBorders>
            <w:shd w:val="clear" w:color="auto" w:fill="auto"/>
            <w:noWrap/>
            <w:vAlign w:val="bottom"/>
            <w:hideMark/>
          </w:tcPr>
          <w:p w14:paraId="3BE5B5EE" w14:textId="77777777" w:rsidR="008E7F6F" w:rsidRPr="008E7F6F" w:rsidRDefault="008E7F6F" w:rsidP="008E7F6F">
            <w:pPr>
              <w:ind w:left="0"/>
              <w:jc w:val="center"/>
              <w:rPr>
                <w:rFonts w:ascii="Bookman Old Style" w:hAnsi="Bookman Old Style" w:cs="Calibri"/>
                <w:b/>
                <w:bCs/>
                <w:color w:val="000000"/>
                <w:sz w:val="22"/>
                <w:szCs w:val="22"/>
                <w:lang w:val="es-CO" w:eastAsia="es-CO"/>
              </w:rPr>
            </w:pPr>
            <w:r w:rsidRPr="008E7F6F">
              <w:rPr>
                <w:rFonts w:ascii="Bookman Old Style" w:hAnsi="Bookman Old Style" w:cs="Calibri"/>
                <w:b/>
                <w:bCs/>
                <w:color w:val="000000"/>
                <w:sz w:val="22"/>
                <w:szCs w:val="22"/>
                <w:lang w:val="es-CO" w:eastAsia="es-CO"/>
              </w:rPr>
              <w:t xml:space="preserve">RADICADO </w:t>
            </w:r>
          </w:p>
        </w:tc>
        <w:tc>
          <w:tcPr>
            <w:tcW w:w="6379" w:type="dxa"/>
            <w:tcBorders>
              <w:top w:val="single" w:sz="4" w:space="0" w:color="auto"/>
              <w:left w:val="nil"/>
              <w:bottom w:val="nil"/>
              <w:right w:val="single" w:sz="4" w:space="0" w:color="auto"/>
            </w:tcBorders>
            <w:shd w:val="clear" w:color="auto" w:fill="auto"/>
            <w:noWrap/>
            <w:vAlign w:val="bottom"/>
            <w:hideMark/>
          </w:tcPr>
          <w:p w14:paraId="76812D52" w14:textId="77777777" w:rsidR="008E7F6F" w:rsidRPr="008E7F6F" w:rsidRDefault="008E7F6F" w:rsidP="008E7F6F">
            <w:pPr>
              <w:ind w:left="0"/>
              <w:jc w:val="center"/>
              <w:rPr>
                <w:rFonts w:ascii="Bookman Old Style" w:hAnsi="Bookman Old Style" w:cs="Calibri"/>
                <w:b/>
                <w:bCs/>
                <w:color w:val="000000"/>
                <w:sz w:val="22"/>
                <w:szCs w:val="22"/>
                <w:lang w:val="es-CO" w:eastAsia="es-CO"/>
              </w:rPr>
            </w:pPr>
            <w:r w:rsidRPr="008E7F6F">
              <w:rPr>
                <w:rFonts w:ascii="Bookman Old Style" w:hAnsi="Bookman Old Style" w:cs="Calibri"/>
                <w:b/>
                <w:bCs/>
                <w:color w:val="000000"/>
                <w:sz w:val="22"/>
                <w:szCs w:val="22"/>
                <w:lang w:val="es-CO" w:eastAsia="es-CO"/>
              </w:rPr>
              <w:t>REMITENTE</w:t>
            </w:r>
          </w:p>
        </w:tc>
      </w:tr>
      <w:tr w:rsidR="008E7F6F" w:rsidRPr="008E7F6F" w14:paraId="3008A7A3" w14:textId="77777777" w:rsidTr="007B4D7A">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C7278"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FF03CF6"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E2023013428</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14:paraId="7E5F7B43"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SAGY</w:t>
            </w:r>
          </w:p>
        </w:tc>
      </w:tr>
      <w:tr w:rsidR="008E7F6F" w:rsidRPr="008E7F6F" w14:paraId="28D1A4FD"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713DA13"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2</w:t>
            </w:r>
          </w:p>
        </w:tc>
        <w:tc>
          <w:tcPr>
            <w:tcW w:w="2126" w:type="dxa"/>
            <w:tcBorders>
              <w:top w:val="nil"/>
              <w:left w:val="nil"/>
              <w:bottom w:val="single" w:sz="4" w:space="0" w:color="auto"/>
              <w:right w:val="single" w:sz="4" w:space="0" w:color="auto"/>
            </w:tcBorders>
            <w:shd w:val="clear" w:color="auto" w:fill="auto"/>
            <w:noWrap/>
            <w:vAlign w:val="bottom"/>
            <w:hideMark/>
          </w:tcPr>
          <w:p w14:paraId="2FA1FE25"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E2023013429</w:t>
            </w:r>
          </w:p>
        </w:tc>
        <w:tc>
          <w:tcPr>
            <w:tcW w:w="6379" w:type="dxa"/>
            <w:tcBorders>
              <w:top w:val="nil"/>
              <w:left w:val="nil"/>
              <w:bottom w:val="single" w:sz="4" w:space="0" w:color="auto"/>
              <w:right w:val="single" w:sz="4" w:space="0" w:color="auto"/>
            </w:tcBorders>
            <w:shd w:val="clear" w:color="auto" w:fill="auto"/>
            <w:noWrap/>
            <w:vAlign w:val="bottom"/>
            <w:hideMark/>
          </w:tcPr>
          <w:p w14:paraId="749F92DA"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SAGY</w:t>
            </w:r>
          </w:p>
        </w:tc>
      </w:tr>
      <w:tr w:rsidR="008E7F6F" w:rsidRPr="008E7F6F" w14:paraId="17AD332A"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DB3580D"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3</w:t>
            </w:r>
          </w:p>
        </w:tc>
        <w:tc>
          <w:tcPr>
            <w:tcW w:w="2126" w:type="dxa"/>
            <w:tcBorders>
              <w:top w:val="nil"/>
              <w:left w:val="nil"/>
              <w:bottom w:val="single" w:sz="4" w:space="0" w:color="auto"/>
              <w:right w:val="single" w:sz="4" w:space="0" w:color="auto"/>
            </w:tcBorders>
            <w:shd w:val="clear" w:color="auto" w:fill="auto"/>
            <w:noWrap/>
            <w:vAlign w:val="bottom"/>
            <w:hideMark/>
          </w:tcPr>
          <w:p w14:paraId="3445B1E8"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E2023013461</w:t>
            </w:r>
          </w:p>
        </w:tc>
        <w:tc>
          <w:tcPr>
            <w:tcW w:w="6379" w:type="dxa"/>
            <w:tcBorders>
              <w:top w:val="nil"/>
              <w:left w:val="nil"/>
              <w:bottom w:val="single" w:sz="4" w:space="0" w:color="auto"/>
              <w:right w:val="single" w:sz="4" w:space="0" w:color="auto"/>
            </w:tcBorders>
            <w:shd w:val="clear" w:color="auto" w:fill="auto"/>
            <w:noWrap/>
            <w:vAlign w:val="bottom"/>
            <w:hideMark/>
          </w:tcPr>
          <w:p w14:paraId="70C6DA2F"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OGE</w:t>
            </w:r>
          </w:p>
        </w:tc>
      </w:tr>
      <w:tr w:rsidR="008E7F6F" w:rsidRPr="008E7F6F" w14:paraId="1DF953DA"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A908FEC"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4</w:t>
            </w:r>
          </w:p>
        </w:tc>
        <w:tc>
          <w:tcPr>
            <w:tcW w:w="2126" w:type="dxa"/>
            <w:tcBorders>
              <w:top w:val="nil"/>
              <w:left w:val="nil"/>
              <w:bottom w:val="single" w:sz="4" w:space="0" w:color="auto"/>
              <w:right w:val="single" w:sz="4" w:space="0" w:color="auto"/>
            </w:tcBorders>
            <w:shd w:val="clear" w:color="auto" w:fill="auto"/>
            <w:noWrap/>
            <w:vAlign w:val="bottom"/>
            <w:hideMark/>
          </w:tcPr>
          <w:p w14:paraId="46EE3D61"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E2023013513</w:t>
            </w:r>
          </w:p>
        </w:tc>
        <w:tc>
          <w:tcPr>
            <w:tcW w:w="6379" w:type="dxa"/>
            <w:tcBorders>
              <w:top w:val="nil"/>
              <w:left w:val="nil"/>
              <w:bottom w:val="single" w:sz="4" w:space="0" w:color="auto"/>
              <w:right w:val="single" w:sz="4" w:space="0" w:color="auto"/>
            </w:tcBorders>
            <w:shd w:val="clear" w:color="auto" w:fill="auto"/>
            <w:noWrap/>
            <w:vAlign w:val="bottom"/>
            <w:hideMark/>
          </w:tcPr>
          <w:p w14:paraId="3CB59A9D"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ENERTOTAL</w:t>
            </w:r>
          </w:p>
        </w:tc>
      </w:tr>
      <w:tr w:rsidR="008E7F6F" w:rsidRPr="008E7F6F" w14:paraId="0B6412D6"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1128B5F"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5</w:t>
            </w:r>
          </w:p>
        </w:tc>
        <w:tc>
          <w:tcPr>
            <w:tcW w:w="2126" w:type="dxa"/>
            <w:tcBorders>
              <w:top w:val="nil"/>
              <w:left w:val="nil"/>
              <w:bottom w:val="single" w:sz="4" w:space="0" w:color="auto"/>
              <w:right w:val="single" w:sz="4" w:space="0" w:color="auto"/>
            </w:tcBorders>
            <w:shd w:val="clear" w:color="auto" w:fill="auto"/>
            <w:noWrap/>
            <w:vAlign w:val="bottom"/>
            <w:hideMark/>
          </w:tcPr>
          <w:p w14:paraId="3F795F54"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E2023013551</w:t>
            </w:r>
          </w:p>
        </w:tc>
        <w:tc>
          <w:tcPr>
            <w:tcW w:w="6379" w:type="dxa"/>
            <w:tcBorders>
              <w:top w:val="nil"/>
              <w:left w:val="nil"/>
              <w:bottom w:val="single" w:sz="4" w:space="0" w:color="auto"/>
              <w:right w:val="single" w:sz="4" w:space="0" w:color="auto"/>
            </w:tcBorders>
            <w:shd w:val="clear" w:color="auto" w:fill="auto"/>
            <w:noWrap/>
            <w:vAlign w:val="bottom"/>
            <w:hideMark/>
          </w:tcPr>
          <w:p w14:paraId="2E4AEC9D"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SURGAS</w:t>
            </w:r>
          </w:p>
        </w:tc>
      </w:tr>
      <w:tr w:rsidR="008E7F6F" w:rsidRPr="008E7F6F" w14:paraId="487D4621"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9336061"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6</w:t>
            </w:r>
          </w:p>
        </w:tc>
        <w:tc>
          <w:tcPr>
            <w:tcW w:w="2126" w:type="dxa"/>
            <w:tcBorders>
              <w:top w:val="nil"/>
              <w:left w:val="nil"/>
              <w:bottom w:val="single" w:sz="4" w:space="0" w:color="auto"/>
              <w:right w:val="single" w:sz="4" w:space="0" w:color="auto"/>
            </w:tcBorders>
            <w:shd w:val="clear" w:color="auto" w:fill="auto"/>
            <w:noWrap/>
            <w:vAlign w:val="bottom"/>
            <w:hideMark/>
          </w:tcPr>
          <w:p w14:paraId="63052B66" w14:textId="66008BD8" w:rsidR="008E7F6F" w:rsidRPr="00F42347" w:rsidRDefault="00F42347" w:rsidP="008E7F6F">
            <w:pPr>
              <w:ind w:left="0"/>
              <w:rPr>
                <w:rFonts w:ascii="Bookman Old Style" w:hAnsi="Bookman Old Style" w:cs="Calibri"/>
                <w:color w:val="000000"/>
                <w:sz w:val="22"/>
                <w:szCs w:val="22"/>
                <w:lang w:val="es-CO" w:eastAsia="es-CO"/>
              </w:rPr>
            </w:pPr>
            <w:r w:rsidRPr="00F42347">
              <w:rPr>
                <w:rFonts w:ascii="Bookman Old Style" w:hAnsi="Bookman Old Style" w:cs="Calibri"/>
                <w:color w:val="000000"/>
                <w:sz w:val="22"/>
                <w:szCs w:val="22"/>
                <w:lang w:val="es-CO" w:eastAsia="es-CO"/>
              </w:rPr>
              <w:t>E2023013568</w:t>
            </w:r>
          </w:p>
        </w:tc>
        <w:tc>
          <w:tcPr>
            <w:tcW w:w="6379" w:type="dxa"/>
            <w:tcBorders>
              <w:top w:val="nil"/>
              <w:left w:val="nil"/>
              <w:bottom w:val="single" w:sz="4" w:space="0" w:color="auto"/>
              <w:right w:val="single" w:sz="4" w:space="0" w:color="auto"/>
            </w:tcBorders>
            <w:shd w:val="clear" w:color="auto" w:fill="auto"/>
            <w:noWrap/>
            <w:vAlign w:val="bottom"/>
            <w:hideMark/>
          </w:tcPr>
          <w:p w14:paraId="585ED0CE"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REDNOVA</w:t>
            </w:r>
          </w:p>
        </w:tc>
      </w:tr>
      <w:tr w:rsidR="008E7F6F" w:rsidRPr="008E7F6F" w14:paraId="799DA463"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8F82AEC"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7</w:t>
            </w:r>
          </w:p>
        </w:tc>
        <w:tc>
          <w:tcPr>
            <w:tcW w:w="2126" w:type="dxa"/>
            <w:tcBorders>
              <w:top w:val="nil"/>
              <w:left w:val="nil"/>
              <w:bottom w:val="single" w:sz="4" w:space="0" w:color="auto"/>
              <w:right w:val="single" w:sz="4" w:space="0" w:color="auto"/>
            </w:tcBorders>
            <w:shd w:val="clear" w:color="auto" w:fill="auto"/>
            <w:noWrap/>
            <w:vAlign w:val="bottom"/>
            <w:hideMark/>
          </w:tcPr>
          <w:p w14:paraId="3393456D"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E2023013560</w:t>
            </w:r>
          </w:p>
        </w:tc>
        <w:tc>
          <w:tcPr>
            <w:tcW w:w="6379" w:type="dxa"/>
            <w:tcBorders>
              <w:top w:val="nil"/>
              <w:left w:val="nil"/>
              <w:bottom w:val="single" w:sz="4" w:space="0" w:color="auto"/>
              <w:right w:val="single" w:sz="4" w:space="0" w:color="auto"/>
            </w:tcBorders>
            <w:shd w:val="clear" w:color="auto" w:fill="auto"/>
            <w:noWrap/>
            <w:vAlign w:val="bottom"/>
            <w:hideMark/>
          </w:tcPr>
          <w:p w14:paraId="33DB2816"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EPM</w:t>
            </w:r>
          </w:p>
        </w:tc>
      </w:tr>
      <w:tr w:rsidR="008E7F6F" w:rsidRPr="008E7F6F" w14:paraId="34F5EC1A"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B86659"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8</w:t>
            </w:r>
          </w:p>
        </w:tc>
        <w:tc>
          <w:tcPr>
            <w:tcW w:w="2126" w:type="dxa"/>
            <w:tcBorders>
              <w:top w:val="nil"/>
              <w:left w:val="nil"/>
              <w:bottom w:val="single" w:sz="4" w:space="0" w:color="auto"/>
              <w:right w:val="single" w:sz="4" w:space="0" w:color="auto"/>
            </w:tcBorders>
            <w:shd w:val="clear" w:color="auto" w:fill="auto"/>
            <w:noWrap/>
            <w:vAlign w:val="bottom"/>
            <w:hideMark/>
          </w:tcPr>
          <w:p w14:paraId="503B2BE3"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E2023013563</w:t>
            </w:r>
          </w:p>
        </w:tc>
        <w:tc>
          <w:tcPr>
            <w:tcW w:w="6379" w:type="dxa"/>
            <w:tcBorders>
              <w:top w:val="nil"/>
              <w:left w:val="nil"/>
              <w:bottom w:val="single" w:sz="4" w:space="0" w:color="auto"/>
              <w:right w:val="single" w:sz="4" w:space="0" w:color="auto"/>
            </w:tcBorders>
            <w:shd w:val="clear" w:color="auto" w:fill="auto"/>
            <w:noWrap/>
            <w:vAlign w:val="bottom"/>
            <w:hideMark/>
          </w:tcPr>
          <w:p w14:paraId="090F8F37"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EFIGAS</w:t>
            </w:r>
          </w:p>
        </w:tc>
      </w:tr>
      <w:tr w:rsidR="008E7F6F" w:rsidRPr="008E7F6F" w14:paraId="3134B4DB"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96F60FC"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9</w:t>
            </w:r>
          </w:p>
        </w:tc>
        <w:tc>
          <w:tcPr>
            <w:tcW w:w="2126" w:type="dxa"/>
            <w:tcBorders>
              <w:top w:val="nil"/>
              <w:left w:val="nil"/>
              <w:bottom w:val="single" w:sz="4" w:space="0" w:color="auto"/>
              <w:right w:val="single" w:sz="4" w:space="0" w:color="auto"/>
            </w:tcBorders>
            <w:shd w:val="clear" w:color="auto" w:fill="auto"/>
            <w:noWrap/>
            <w:vAlign w:val="bottom"/>
            <w:hideMark/>
          </w:tcPr>
          <w:p w14:paraId="20E87E96"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E2023013568</w:t>
            </w:r>
          </w:p>
        </w:tc>
        <w:tc>
          <w:tcPr>
            <w:tcW w:w="6379" w:type="dxa"/>
            <w:tcBorders>
              <w:top w:val="nil"/>
              <w:left w:val="nil"/>
              <w:bottom w:val="single" w:sz="4" w:space="0" w:color="auto"/>
              <w:right w:val="single" w:sz="4" w:space="0" w:color="auto"/>
            </w:tcBorders>
            <w:shd w:val="clear" w:color="auto" w:fill="auto"/>
            <w:noWrap/>
            <w:vAlign w:val="bottom"/>
            <w:hideMark/>
          </w:tcPr>
          <w:p w14:paraId="124D0E92"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CAC</w:t>
            </w:r>
          </w:p>
        </w:tc>
      </w:tr>
      <w:tr w:rsidR="008E7F6F" w:rsidRPr="008E7F6F" w14:paraId="0222B964"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E0B09C7"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10</w:t>
            </w:r>
          </w:p>
        </w:tc>
        <w:tc>
          <w:tcPr>
            <w:tcW w:w="2126" w:type="dxa"/>
            <w:tcBorders>
              <w:top w:val="nil"/>
              <w:left w:val="nil"/>
              <w:bottom w:val="single" w:sz="4" w:space="0" w:color="auto"/>
              <w:right w:val="single" w:sz="4" w:space="0" w:color="auto"/>
            </w:tcBorders>
            <w:shd w:val="clear" w:color="auto" w:fill="auto"/>
            <w:noWrap/>
            <w:vAlign w:val="bottom"/>
            <w:hideMark/>
          </w:tcPr>
          <w:p w14:paraId="1882F76E"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E2023013569</w:t>
            </w:r>
          </w:p>
        </w:tc>
        <w:tc>
          <w:tcPr>
            <w:tcW w:w="6379" w:type="dxa"/>
            <w:tcBorders>
              <w:top w:val="nil"/>
              <w:left w:val="nil"/>
              <w:bottom w:val="single" w:sz="4" w:space="0" w:color="auto"/>
              <w:right w:val="single" w:sz="4" w:space="0" w:color="auto"/>
            </w:tcBorders>
            <w:shd w:val="clear" w:color="auto" w:fill="auto"/>
            <w:noWrap/>
            <w:vAlign w:val="bottom"/>
            <w:hideMark/>
          </w:tcPr>
          <w:p w14:paraId="735AEC28"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METROGAS</w:t>
            </w:r>
          </w:p>
        </w:tc>
      </w:tr>
      <w:tr w:rsidR="008E7F6F" w:rsidRPr="008E7F6F" w14:paraId="3CBFAE07"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92ED260"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11</w:t>
            </w:r>
          </w:p>
        </w:tc>
        <w:tc>
          <w:tcPr>
            <w:tcW w:w="2126" w:type="dxa"/>
            <w:tcBorders>
              <w:top w:val="nil"/>
              <w:left w:val="nil"/>
              <w:bottom w:val="single" w:sz="4" w:space="0" w:color="auto"/>
              <w:right w:val="single" w:sz="4" w:space="0" w:color="auto"/>
            </w:tcBorders>
            <w:shd w:val="clear" w:color="auto" w:fill="auto"/>
            <w:noWrap/>
            <w:vAlign w:val="bottom"/>
            <w:hideMark/>
          </w:tcPr>
          <w:p w14:paraId="64496453"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E2023013574</w:t>
            </w:r>
          </w:p>
        </w:tc>
        <w:tc>
          <w:tcPr>
            <w:tcW w:w="6379" w:type="dxa"/>
            <w:tcBorders>
              <w:top w:val="nil"/>
              <w:left w:val="nil"/>
              <w:bottom w:val="single" w:sz="4" w:space="0" w:color="auto"/>
              <w:right w:val="single" w:sz="4" w:space="0" w:color="auto"/>
            </w:tcBorders>
            <w:shd w:val="clear" w:color="auto" w:fill="auto"/>
            <w:noWrap/>
            <w:vAlign w:val="bottom"/>
            <w:hideMark/>
          </w:tcPr>
          <w:p w14:paraId="6E9A9E81"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CELCIA</w:t>
            </w:r>
          </w:p>
        </w:tc>
      </w:tr>
      <w:tr w:rsidR="008E7F6F" w:rsidRPr="008E7F6F" w14:paraId="61B9CC93"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084236D"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12</w:t>
            </w:r>
          </w:p>
        </w:tc>
        <w:tc>
          <w:tcPr>
            <w:tcW w:w="2126" w:type="dxa"/>
            <w:tcBorders>
              <w:top w:val="nil"/>
              <w:left w:val="nil"/>
              <w:bottom w:val="single" w:sz="4" w:space="0" w:color="auto"/>
              <w:right w:val="single" w:sz="4" w:space="0" w:color="auto"/>
            </w:tcBorders>
            <w:shd w:val="clear" w:color="auto" w:fill="auto"/>
            <w:noWrap/>
            <w:vAlign w:val="bottom"/>
            <w:hideMark/>
          </w:tcPr>
          <w:p w14:paraId="084FE11F"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E2023013582</w:t>
            </w:r>
          </w:p>
        </w:tc>
        <w:tc>
          <w:tcPr>
            <w:tcW w:w="6379" w:type="dxa"/>
            <w:tcBorders>
              <w:top w:val="nil"/>
              <w:left w:val="nil"/>
              <w:bottom w:val="single" w:sz="4" w:space="0" w:color="auto"/>
              <w:right w:val="single" w:sz="4" w:space="0" w:color="auto"/>
            </w:tcBorders>
            <w:shd w:val="clear" w:color="auto" w:fill="auto"/>
            <w:noWrap/>
            <w:vAlign w:val="bottom"/>
            <w:hideMark/>
          </w:tcPr>
          <w:p w14:paraId="7B7C118A"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EMPRESA ENERGIA DE PEREIRA</w:t>
            </w:r>
          </w:p>
        </w:tc>
      </w:tr>
      <w:tr w:rsidR="008E7F6F" w:rsidRPr="008E7F6F" w14:paraId="42E2DE9F"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E9FD8B"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13</w:t>
            </w:r>
          </w:p>
        </w:tc>
        <w:tc>
          <w:tcPr>
            <w:tcW w:w="2126" w:type="dxa"/>
            <w:tcBorders>
              <w:top w:val="nil"/>
              <w:left w:val="nil"/>
              <w:bottom w:val="single" w:sz="4" w:space="0" w:color="auto"/>
              <w:right w:val="single" w:sz="4" w:space="0" w:color="auto"/>
            </w:tcBorders>
            <w:shd w:val="clear" w:color="auto" w:fill="auto"/>
            <w:noWrap/>
            <w:vAlign w:val="bottom"/>
            <w:hideMark/>
          </w:tcPr>
          <w:p w14:paraId="3EB084AE"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E2023013585</w:t>
            </w:r>
          </w:p>
        </w:tc>
        <w:tc>
          <w:tcPr>
            <w:tcW w:w="6379" w:type="dxa"/>
            <w:tcBorders>
              <w:top w:val="nil"/>
              <w:left w:val="nil"/>
              <w:bottom w:val="single" w:sz="4" w:space="0" w:color="auto"/>
              <w:right w:val="single" w:sz="4" w:space="0" w:color="auto"/>
            </w:tcBorders>
            <w:shd w:val="clear" w:color="auto" w:fill="auto"/>
            <w:noWrap/>
            <w:vAlign w:val="bottom"/>
            <w:hideMark/>
          </w:tcPr>
          <w:p w14:paraId="14DED01E"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GRUPO DEL LLANO</w:t>
            </w:r>
          </w:p>
        </w:tc>
      </w:tr>
      <w:tr w:rsidR="008E7F6F" w:rsidRPr="008E7F6F" w14:paraId="3686C92F"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4835DCB"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14</w:t>
            </w:r>
          </w:p>
        </w:tc>
        <w:tc>
          <w:tcPr>
            <w:tcW w:w="2126" w:type="dxa"/>
            <w:tcBorders>
              <w:top w:val="nil"/>
              <w:left w:val="nil"/>
              <w:bottom w:val="single" w:sz="4" w:space="0" w:color="auto"/>
              <w:right w:val="single" w:sz="4" w:space="0" w:color="auto"/>
            </w:tcBorders>
            <w:shd w:val="clear" w:color="auto" w:fill="auto"/>
            <w:noWrap/>
            <w:vAlign w:val="bottom"/>
            <w:hideMark/>
          </w:tcPr>
          <w:p w14:paraId="0EB1FB08"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E2023013589</w:t>
            </w:r>
          </w:p>
        </w:tc>
        <w:tc>
          <w:tcPr>
            <w:tcW w:w="6379" w:type="dxa"/>
            <w:tcBorders>
              <w:top w:val="nil"/>
              <w:left w:val="nil"/>
              <w:bottom w:val="single" w:sz="4" w:space="0" w:color="auto"/>
              <w:right w:val="single" w:sz="4" w:space="0" w:color="auto"/>
            </w:tcBorders>
            <w:shd w:val="clear" w:color="auto" w:fill="auto"/>
            <w:noWrap/>
            <w:vAlign w:val="bottom"/>
            <w:hideMark/>
          </w:tcPr>
          <w:p w14:paraId="5CF823EB"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COMPAÑÍA ENERGETICA DE OCCIDENTE</w:t>
            </w:r>
          </w:p>
        </w:tc>
      </w:tr>
      <w:tr w:rsidR="008E7F6F" w:rsidRPr="008E7F6F" w14:paraId="66DC2C52"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BE0EF9B"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15</w:t>
            </w:r>
          </w:p>
        </w:tc>
        <w:tc>
          <w:tcPr>
            <w:tcW w:w="2126" w:type="dxa"/>
            <w:tcBorders>
              <w:top w:val="nil"/>
              <w:left w:val="nil"/>
              <w:bottom w:val="single" w:sz="4" w:space="0" w:color="auto"/>
              <w:right w:val="single" w:sz="4" w:space="0" w:color="auto"/>
            </w:tcBorders>
            <w:shd w:val="clear" w:color="auto" w:fill="auto"/>
            <w:noWrap/>
            <w:vAlign w:val="bottom"/>
            <w:hideMark/>
          </w:tcPr>
          <w:p w14:paraId="2F54FDDA"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E2023013590</w:t>
            </w:r>
          </w:p>
        </w:tc>
        <w:tc>
          <w:tcPr>
            <w:tcW w:w="6379" w:type="dxa"/>
            <w:tcBorders>
              <w:top w:val="nil"/>
              <w:left w:val="nil"/>
              <w:bottom w:val="single" w:sz="4" w:space="0" w:color="auto"/>
              <w:right w:val="single" w:sz="4" w:space="0" w:color="auto"/>
            </w:tcBorders>
            <w:shd w:val="clear" w:color="auto" w:fill="auto"/>
            <w:noWrap/>
            <w:vAlign w:val="bottom"/>
            <w:hideMark/>
          </w:tcPr>
          <w:p w14:paraId="6A9B6770"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 xml:space="preserve">GASES DEL ORIENTE </w:t>
            </w:r>
          </w:p>
        </w:tc>
      </w:tr>
      <w:tr w:rsidR="008E7F6F" w:rsidRPr="008E7F6F" w14:paraId="64066F91"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9D3090"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16</w:t>
            </w:r>
          </w:p>
        </w:tc>
        <w:tc>
          <w:tcPr>
            <w:tcW w:w="2126" w:type="dxa"/>
            <w:tcBorders>
              <w:top w:val="nil"/>
              <w:left w:val="nil"/>
              <w:bottom w:val="single" w:sz="4" w:space="0" w:color="auto"/>
              <w:right w:val="single" w:sz="4" w:space="0" w:color="auto"/>
            </w:tcBorders>
            <w:shd w:val="clear" w:color="auto" w:fill="auto"/>
            <w:noWrap/>
            <w:vAlign w:val="bottom"/>
            <w:hideMark/>
          </w:tcPr>
          <w:p w14:paraId="545CD7EE"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E2023013596</w:t>
            </w:r>
          </w:p>
        </w:tc>
        <w:tc>
          <w:tcPr>
            <w:tcW w:w="6379" w:type="dxa"/>
            <w:tcBorders>
              <w:top w:val="nil"/>
              <w:left w:val="nil"/>
              <w:bottom w:val="single" w:sz="4" w:space="0" w:color="auto"/>
              <w:right w:val="single" w:sz="4" w:space="0" w:color="auto"/>
            </w:tcBorders>
            <w:shd w:val="clear" w:color="auto" w:fill="auto"/>
            <w:noWrap/>
            <w:vAlign w:val="bottom"/>
            <w:hideMark/>
          </w:tcPr>
          <w:p w14:paraId="08D4BA94"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GASES DEL CARIBE</w:t>
            </w:r>
          </w:p>
        </w:tc>
      </w:tr>
      <w:tr w:rsidR="008E7F6F" w:rsidRPr="008E7F6F" w14:paraId="73ED1D3B"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5F30988"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17</w:t>
            </w:r>
          </w:p>
        </w:tc>
        <w:tc>
          <w:tcPr>
            <w:tcW w:w="2126" w:type="dxa"/>
            <w:tcBorders>
              <w:top w:val="nil"/>
              <w:left w:val="nil"/>
              <w:bottom w:val="single" w:sz="4" w:space="0" w:color="auto"/>
              <w:right w:val="single" w:sz="4" w:space="0" w:color="auto"/>
            </w:tcBorders>
            <w:shd w:val="clear" w:color="auto" w:fill="auto"/>
            <w:noWrap/>
            <w:vAlign w:val="bottom"/>
            <w:hideMark/>
          </w:tcPr>
          <w:p w14:paraId="37C189E9"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E2023013597</w:t>
            </w:r>
          </w:p>
        </w:tc>
        <w:tc>
          <w:tcPr>
            <w:tcW w:w="6379" w:type="dxa"/>
            <w:tcBorders>
              <w:top w:val="nil"/>
              <w:left w:val="nil"/>
              <w:bottom w:val="single" w:sz="4" w:space="0" w:color="auto"/>
              <w:right w:val="single" w:sz="4" w:space="0" w:color="auto"/>
            </w:tcBorders>
            <w:shd w:val="clear" w:color="auto" w:fill="auto"/>
            <w:noWrap/>
            <w:vAlign w:val="bottom"/>
            <w:hideMark/>
          </w:tcPr>
          <w:p w14:paraId="16D491E1"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ASOCODIS</w:t>
            </w:r>
          </w:p>
        </w:tc>
      </w:tr>
      <w:tr w:rsidR="008E7F6F" w:rsidRPr="008E7F6F" w14:paraId="1E61FC37"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A875EFC"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18</w:t>
            </w:r>
          </w:p>
        </w:tc>
        <w:tc>
          <w:tcPr>
            <w:tcW w:w="2126" w:type="dxa"/>
            <w:tcBorders>
              <w:top w:val="nil"/>
              <w:left w:val="nil"/>
              <w:bottom w:val="single" w:sz="4" w:space="0" w:color="auto"/>
              <w:right w:val="single" w:sz="4" w:space="0" w:color="auto"/>
            </w:tcBorders>
            <w:shd w:val="clear" w:color="auto" w:fill="auto"/>
            <w:noWrap/>
            <w:vAlign w:val="bottom"/>
            <w:hideMark/>
          </w:tcPr>
          <w:p w14:paraId="6653E1CE"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E2023013600</w:t>
            </w:r>
          </w:p>
        </w:tc>
        <w:tc>
          <w:tcPr>
            <w:tcW w:w="6379" w:type="dxa"/>
            <w:tcBorders>
              <w:top w:val="nil"/>
              <w:left w:val="nil"/>
              <w:bottom w:val="single" w:sz="4" w:space="0" w:color="auto"/>
              <w:right w:val="single" w:sz="4" w:space="0" w:color="auto"/>
            </w:tcBorders>
            <w:shd w:val="clear" w:color="auto" w:fill="auto"/>
            <w:noWrap/>
            <w:vAlign w:val="bottom"/>
            <w:hideMark/>
          </w:tcPr>
          <w:p w14:paraId="3B0A8A22"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VATIA</w:t>
            </w:r>
          </w:p>
        </w:tc>
      </w:tr>
      <w:tr w:rsidR="008E7F6F" w:rsidRPr="008E7F6F" w14:paraId="52194B9F"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01596DC"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19</w:t>
            </w:r>
          </w:p>
        </w:tc>
        <w:tc>
          <w:tcPr>
            <w:tcW w:w="2126" w:type="dxa"/>
            <w:tcBorders>
              <w:top w:val="nil"/>
              <w:left w:val="nil"/>
              <w:bottom w:val="single" w:sz="4" w:space="0" w:color="auto"/>
              <w:right w:val="single" w:sz="4" w:space="0" w:color="auto"/>
            </w:tcBorders>
            <w:shd w:val="clear" w:color="auto" w:fill="auto"/>
            <w:noWrap/>
            <w:vAlign w:val="bottom"/>
            <w:hideMark/>
          </w:tcPr>
          <w:p w14:paraId="47493756"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E2023E13603</w:t>
            </w:r>
          </w:p>
        </w:tc>
        <w:tc>
          <w:tcPr>
            <w:tcW w:w="6379" w:type="dxa"/>
            <w:tcBorders>
              <w:top w:val="nil"/>
              <w:left w:val="nil"/>
              <w:bottom w:val="single" w:sz="4" w:space="0" w:color="auto"/>
              <w:right w:val="single" w:sz="4" w:space="0" w:color="auto"/>
            </w:tcBorders>
            <w:shd w:val="clear" w:color="auto" w:fill="auto"/>
            <w:noWrap/>
            <w:vAlign w:val="bottom"/>
            <w:hideMark/>
          </w:tcPr>
          <w:p w14:paraId="5EDCA7AC"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ANDESCO</w:t>
            </w:r>
          </w:p>
        </w:tc>
      </w:tr>
      <w:tr w:rsidR="008E7F6F" w:rsidRPr="008E7F6F" w14:paraId="4AAC8FF0"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77004F"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20</w:t>
            </w:r>
          </w:p>
        </w:tc>
        <w:tc>
          <w:tcPr>
            <w:tcW w:w="2126" w:type="dxa"/>
            <w:tcBorders>
              <w:top w:val="nil"/>
              <w:left w:val="nil"/>
              <w:bottom w:val="single" w:sz="4" w:space="0" w:color="auto"/>
              <w:right w:val="single" w:sz="4" w:space="0" w:color="auto"/>
            </w:tcBorders>
            <w:shd w:val="clear" w:color="auto" w:fill="auto"/>
            <w:noWrap/>
            <w:vAlign w:val="bottom"/>
            <w:hideMark/>
          </w:tcPr>
          <w:p w14:paraId="03539F9C"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E2023013604</w:t>
            </w:r>
          </w:p>
        </w:tc>
        <w:tc>
          <w:tcPr>
            <w:tcW w:w="6379" w:type="dxa"/>
            <w:tcBorders>
              <w:top w:val="nil"/>
              <w:left w:val="nil"/>
              <w:bottom w:val="single" w:sz="4" w:space="0" w:color="auto"/>
              <w:right w:val="single" w:sz="4" w:space="0" w:color="auto"/>
            </w:tcBorders>
            <w:shd w:val="clear" w:color="auto" w:fill="auto"/>
            <w:noWrap/>
            <w:vAlign w:val="bottom"/>
            <w:hideMark/>
          </w:tcPr>
          <w:p w14:paraId="3A1ECD08"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AIRE</w:t>
            </w:r>
          </w:p>
        </w:tc>
      </w:tr>
      <w:tr w:rsidR="008E7F6F" w:rsidRPr="008E7F6F" w14:paraId="7A53F123"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91AC779"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21</w:t>
            </w:r>
          </w:p>
        </w:tc>
        <w:tc>
          <w:tcPr>
            <w:tcW w:w="2126" w:type="dxa"/>
            <w:tcBorders>
              <w:top w:val="nil"/>
              <w:left w:val="nil"/>
              <w:bottom w:val="single" w:sz="4" w:space="0" w:color="auto"/>
              <w:right w:val="single" w:sz="4" w:space="0" w:color="auto"/>
            </w:tcBorders>
            <w:shd w:val="clear" w:color="auto" w:fill="auto"/>
            <w:noWrap/>
            <w:vAlign w:val="bottom"/>
            <w:hideMark/>
          </w:tcPr>
          <w:p w14:paraId="73634C43"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E2023013612</w:t>
            </w:r>
          </w:p>
        </w:tc>
        <w:tc>
          <w:tcPr>
            <w:tcW w:w="6379" w:type="dxa"/>
            <w:tcBorders>
              <w:top w:val="nil"/>
              <w:left w:val="nil"/>
              <w:bottom w:val="single" w:sz="4" w:space="0" w:color="auto"/>
              <w:right w:val="single" w:sz="4" w:space="0" w:color="auto"/>
            </w:tcBorders>
            <w:shd w:val="clear" w:color="auto" w:fill="auto"/>
            <w:noWrap/>
            <w:vAlign w:val="bottom"/>
            <w:hideMark/>
          </w:tcPr>
          <w:p w14:paraId="4371A857"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VANTI</w:t>
            </w:r>
          </w:p>
        </w:tc>
      </w:tr>
      <w:tr w:rsidR="008E7F6F" w:rsidRPr="008E7F6F" w14:paraId="6E1F3421"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156BC43"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22</w:t>
            </w:r>
          </w:p>
        </w:tc>
        <w:tc>
          <w:tcPr>
            <w:tcW w:w="2126" w:type="dxa"/>
            <w:tcBorders>
              <w:top w:val="nil"/>
              <w:left w:val="nil"/>
              <w:bottom w:val="single" w:sz="4" w:space="0" w:color="auto"/>
              <w:right w:val="single" w:sz="4" w:space="0" w:color="auto"/>
            </w:tcBorders>
            <w:shd w:val="clear" w:color="auto" w:fill="auto"/>
            <w:noWrap/>
            <w:vAlign w:val="bottom"/>
            <w:hideMark/>
          </w:tcPr>
          <w:p w14:paraId="77810338"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E2023013613</w:t>
            </w:r>
          </w:p>
        </w:tc>
        <w:tc>
          <w:tcPr>
            <w:tcW w:w="6379" w:type="dxa"/>
            <w:tcBorders>
              <w:top w:val="nil"/>
              <w:left w:val="nil"/>
              <w:bottom w:val="single" w:sz="4" w:space="0" w:color="auto"/>
              <w:right w:val="single" w:sz="4" w:space="0" w:color="auto"/>
            </w:tcBorders>
            <w:shd w:val="clear" w:color="auto" w:fill="auto"/>
            <w:noWrap/>
            <w:vAlign w:val="bottom"/>
            <w:hideMark/>
          </w:tcPr>
          <w:p w14:paraId="2B6573FB"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ALCANOS</w:t>
            </w:r>
          </w:p>
        </w:tc>
      </w:tr>
      <w:tr w:rsidR="008E7F6F" w:rsidRPr="008E7F6F" w14:paraId="5F2822AB"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E1FCEEC"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23</w:t>
            </w:r>
          </w:p>
        </w:tc>
        <w:tc>
          <w:tcPr>
            <w:tcW w:w="2126" w:type="dxa"/>
            <w:tcBorders>
              <w:top w:val="nil"/>
              <w:left w:val="nil"/>
              <w:bottom w:val="single" w:sz="4" w:space="0" w:color="auto"/>
              <w:right w:val="single" w:sz="4" w:space="0" w:color="auto"/>
            </w:tcBorders>
            <w:shd w:val="clear" w:color="auto" w:fill="auto"/>
            <w:noWrap/>
            <w:vAlign w:val="bottom"/>
            <w:hideMark/>
          </w:tcPr>
          <w:p w14:paraId="6552142A"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E2023013614</w:t>
            </w:r>
          </w:p>
        </w:tc>
        <w:tc>
          <w:tcPr>
            <w:tcW w:w="6379" w:type="dxa"/>
            <w:tcBorders>
              <w:top w:val="nil"/>
              <w:left w:val="nil"/>
              <w:bottom w:val="single" w:sz="4" w:space="0" w:color="auto"/>
              <w:right w:val="single" w:sz="4" w:space="0" w:color="auto"/>
            </w:tcBorders>
            <w:shd w:val="clear" w:color="auto" w:fill="auto"/>
            <w:noWrap/>
            <w:vAlign w:val="bottom"/>
            <w:hideMark/>
          </w:tcPr>
          <w:p w14:paraId="18DC86B2"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CUSIANA GAS</w:t>
            </w:r>
          </w:p>
        </w:tc>
      </w:tr>
      <w:tr w:rsidR="008E7F6F" w:rsidRPr="008E7F6F" w14:paraId="3C5ED932"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1C6E951"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24</w:t>
            </w:r>
          </w:p>
        </w:tc>
        <w:tc>
          <w:tcPr>
            <w:tcW w:w="2126" w:type="dxa"/>
            <w:tcBorders>
              <w:top w:val="nil"/>
              <w:left w:val="nil"/>
              <w:bottom w:val="single" w:sz="4" w:space="0" w:color="auto"/>
              <w:right w:val="single" w:sz="4" w:space="0" w:color="auto"/>
            </w:tcBorders>
            <w:shd w:val="clear" w:color="auto" w:fill="auto"/>
            <w:noWrap/>
            <w:vAlign w:val="bottom"/>
            <w:hideMark/>
          </w:tcPr>
          <w:p w14:paraId="66F1912E"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E2023013616</w:t>
            </w:r>
          </w:p>
        </w:tc>
        <w:tc>
          <w:tcPr>
            <w:tcW w:w="6379" w:type="dxa"/>
            <w:tcBorders>
              <w:top w:val="nil"/>
              <w:left w:val="nil"/>
              <w:bottom w:val="single" w:sz="4" w:space="0" w:color="auto"/>
              <w:right w:val="single" w:sz="4" w:space="0" w:color="auto"/>
            </w:tcBorders>
            <w:shd w:val="clear" w:color="auto" w:fill="auto"/>
            <w:noWrap/>
            <w:vAlign w:val="bottom"/>
            <w:hideMark/>
          </w:tcPr>
          <w:p w14:paraId="5C5B79DC"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ENAM SA ESP</w:t>
            </w:r>
          </w:p>
        </w:tc>
      </w:tr>
      <w:tr w:rsidR="008E7F6F" w:rsidRPr="008E7F6F" w14:paraId="6C1BFDAB"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DBF18B3"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25</w:t>
            </w:r>
          </w:p>
        </w:tc>
        <w:tc>
          <w:tcPr>
            <w:tcW w:w="2126" w:type="dxa"/>
            <w:tcBorders>
              <w:top w:val="nil"/>
              <w:left w:val="nil"/>
              <w:bottom w:val="single" w:sz="4" w:space="0" w:color="auto"/>
              <w:right w:val="single" w:sz="4" w:space="0" w:color="auto"/>
            </w:tcBorders>
            <w:shd w:val="clear" w:color="auto" w:fill="auto"/>
            <w:noWrap/>
            <w:vAlign w:val="bottom"/>
            <w:hideMark/>
          </w:tcPr>
          <w:p w14:paraId="47235415"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E2023013617</w:t>
            </w:r>
          </w:p>
        </w:tc>
        <w:tc>
          <w:tcPr>
            <w:tcW w:w="6379" w:type="dxa"/>
            <w:tcBorders>
              <w:top w:val="nil"/>
              <w:left w:val="nil"/>
              <w:bottom w:val="single" w:sz="4" w:space="0" w:color="auto"/>
              <w:right w:val="single" w:sz="4" w:space="0" w:color="auto"/>
            </w:tcBorders>
            <w:shd w:val="clear" w:color="auto" w:fill="auto"/>
            <w:noWrap/>
            <w:vAlign w:val="bottom"/>
            <w:hideMark/>
          </w:tcPr>
          <w:p w14:paraId="315D874A"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GASES DE OCCIDENTE</w:t>
            </w:r>
          </w:p>
        </w:tc>
      </w:tr>
      <w:tr w:rsidR="008E7F6F" w:rsidRPr="008E7F6F" w14:paraId="7D6A1F79"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8DF7685"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26</w:t>
            </w:r>
          </w:p>
        </w:tc>
        <w:tc>
          <w:tcPr>
            <w:tcW w:w="2126" w:type="dxa"/>
            <w:tcBorders>
              <w:top w:val="nil"/>
              <w:left w:val="nil"/>
              <w:bottom w:val="single" w:sz="4" w:space="0" w:color="auto"/>
              <w:right w:val="single" w:sz="4" w:space="0" w:color="auto"/>
            </w:tcBorders>
            <w:shd w:val="clear" w:color="auto" w:fill="auto"/>
            <w:noWrap/>
            <w:vAlign w:val="bottom"/>
            <w:hideMark/>
          </w:tcPr>
          <w:p w14:paraId="7FD28748"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E2023013618</w:t>
            </w:r>
          </w:p>
        </w:tc>
        <w:tc>
          <w:tcPr>
            <w:tcW w:w="6379" w:type="dxa"/>
            <w:tcBorders>
              <w:top w:val="nil"/>
              <w:left w:val="nil"/>
              <w:bottom w:val="single" w:sz="4" w:space="0" w:color="auto"/>
              <w:right w:val="single" w:sz="4" w:space="0" w:color="auto"/>
            </w:tcBorders>
            <w:shd w:val="clear" w:color="auto" w:fill="auto"/>
            <w:noWrap/>
            <w:vAlign w:val="bottom"/>
            <w:hideMark/>
          </w:tcPr>
          <w:p w14:paraId="4A9CD37C"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GRUPO VANTI</w:t>
            </w:r>
          </w:p>
        </w:tc>
      </w:tr>
      <w:tr w:rsidR="008E7F6F" w:rsidRPr="008E7F6F" w14:paraId="5599E4E8"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B466695"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27</w:t>
            </w:r>
          </w:p>
        </w:tc>
        <w:tc>
          <w:tcPr>
            <w:tcW w:w="2126" w:type="dxa"/>
            <w:tcBorders>
              <w:top w:val="nil"/>
              <w:left w:val="nil"/>
              <w:bottom w:val="single" w:sz="4" w:space="0" w:color="auto"/>
              <w:right w:val="single" w:sz="4" w:space="0" w:color="auto"/>
            </w:tcBorders>
            <w:shd w:val="clear" w:color="auto" w:fill="auto"/>
            <w:noWrap/>
            <w:vAlign w:val="bottom"/>
            <w:hideMark/>
          </w:tcPr>
          <w:p w14:paraId="06DA4543"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E2023013619</w:t>
            </w:r>
          </w:p>
        </w:tc>
        <w:tc>
          <w:tcPr>
            <w:tcW w:w="6379" w:type="dxa"/>
            <w:tcBorders>
              <w:top w:val="nil"/>
              <w:left w:val="nil"/>
              <w:bottom w:val="single" w:sz="4" w:space="0" w:color="auto"/>
              <w:right w:val="single" w:sz="4" w:space="0" w:color="auto"/>
            </w:tcBorders>
            <w:shd w:val="clear" w:color="auto" w:fill="auto"/>
            <w:noWrap/>
            <w:vAlign w:val="bottom"/>
            <w:hideMark/>
          </w:tcPr>
          <w:p w14:paraId="7E9FDACD"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NATURGAS</w:t>
            </w:r>
          </w:p>
        </w:tc>
      </w:tr>
      <w:tr w:rsidR="008E7F6F" w:rsidRPr="008E7F6F" w14:paraId="5CC05A01"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BEF6AA2"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28</w:t>
            </w:r>
          </w:p>
        </w:tc>
        <w:tc>
          <w:tcPr>
            <w:tcW w:w="2126" w:type="dxa"/>
            <w:tcBorders>
              <w:top w:val="nil"/>
              <w:left w:val="nil"/>
              <w:bottom w:val="single" w:sz="4" w:space="0" w:color="auto"/>
              <w:right w:val="single" w:sz="4" w:space="0" w:color="auto"/>
            </w:tcBorders>
            <w:shd w:val="clear" w:color="auto" w:fill="auto"/>
            <w:noWrap/>
            <w:vAlign w:val="bottom"/>
            <w:hideMark/>
          </w:tcPr>
          <w:p w14:paraId="7ADA6DDD"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E2023013621</w:t>
            </w:r>
          </w:p>
        </w:tc>
        <w:tc>
          <w:tcPr>
            <w:tcW w:w="6379" w:type="dxa"/>
            <w:tcBorders>
              <w:top w:val="nil"/>
              <w:left w:val="nil"/>
              <w:bottom w:val="single" w:sz="4" w:space="0" w:color="auto"/>
              <w:right w:val="single" w:sz="4" w:space="0" w:color="auto"/>
            </w:tcBorders>
            <w:shd w:val="clear" w:color="auto" w:fill="auto"/>
            <w:noWrap/>
            <w:vAlign w:val="bottom"/>
            <w:hideMark/>
          </w:tcPr>
          <w:p w14:paraId="28B5AD26"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SURTIGAS</w:t>
            </w:r>
          </w:p>
        </w:tc>
      </w:tr>
      <w:tr w:rsidR="008E7F6F" w:rsidRPr="008E7F6F" w14:paraId="73CD6601"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A49B1FA"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29</w:t>
            </w:r>
          </w:p>
        </w:tc>
        <w:tc>
          <w:tcPr>
            <w:tcW w:w="2126" w:type="dxa"/>
            <w:tcBorders>
              <w:top w:val="nil"/>
              <w:left w:val="nil"/>
              <w:bottom w:val="single" w:sz="4" w:space="0" w:color="auto"/>
              <w:right w:val="single" w:sz="4" w:space="0" w:color="auto"/>
            </w:tcBorders>
            <w:shd w:val="clear" w:color="auto" w:fill="auto"/>
            <w:noWrap/>
            <w:vAlign w:val="bottom"/>
            <w:hideMark/>
          </w:tcPr>
          <w:p w14:paraId="583DA6F3"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E2023013676</w:t>
            </w:r>
          </w:p>
        </w:tc>
        <w:tc>
          <w:tcPr>
            <w:tcW w:w="6379" w:type="dxa"/>
            <w:tcBorders>
              <w:top w:val="nil"/>
              <w:left w:val="nil"/>
              <w:bottom w:val="single" w:sz="4" w:space="0" w:color="auto"/>
              <w:right w:val="single" w:sz="4" w:space="0" w:color="auto"/>
            </w:tcBorders>
            <w:shd w:val="clear" w:color="auto" w:fill="auto"/>
            <w:noWrap/>
            <w:vAlign w:val="bottom"/>
            <w:hideMark/>
          </w:tcPr>
          <w:p w14:paraId="503A9E08" w14:textId="7741518A"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EMPR</w:t>
            </w:r>
            <w:r w:rsidR="001A64EA">
              <w:rPr>
                <w:rFonts w:ascii="Bookman Old Style" w:hAnsi="Bookman Old Style" w:cs="Calibri"/>
                <w:color w:val="000000"/>
                <w:sz w:val="22"/>
                <w:szCs w:val="22"/>
                <w:lang w:val="es-CO" w:eastAsia="es-CO"/>
              </w:rPr>
              <w:t>E</w:t>
            </w:r>
            <w:r w:rsidRPr="008E7F6F">
              <w:rPr>
                <w:rFonts w:ascii="Bookman Old Style" w:hAnsi="Bookman Old Style" w:cs="Calibri"/>
                <w:color w:val="000000"/>
                <w:sz w:val="22"/>
                <w:szCs w:val="22"/>
                <w:lang w:val="es-CO" w:eastAsia="es-CO"/>
              </w:rPr>
              <w:t>SA PUTUMAYO</w:t>
            </w:r>
          </w:p>
        </w:tc>
      </w:tr>
      <w:tr w:rsidR="008E7F6F" w:rsidRPr="008E7F6F" w14:paraId="0CCAD0E8" w14:textId="77777777" w:rsidTr="007B4D7A">
        <w:trPr>
          <w:trHeight w:val="2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9CF310C" w14:textId="77777777" w:rsidR="008E7F6F" w:rsidRPr="008E7F6F" w:rsidRDefault="008E7F6F" w:rsidP="008E7F6F">
            <w:pPr>
              <w:ind w:left="0"/>
              <w:jc w:val="right"/>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30</w:t>
            </w:r>
          </w:p>
        </w:tc>
        <w:tc>
          <w:tcPr>
            <w:tcW w:w="2126" w:type="dxa"/>
            <w:tcBorders>
              <w:top w:val="nil"/>
              <w:left w:val="nil"/>
              <w:bottom w:val="single" w:sz="4" w:space="0" w:color="auto"/>
              <w:right w:val="single" w:sz="4" w:space="0" w:color="auto"/>
            </w:tcBorders>
            <w:shd w:val="clear" w:color="auto" w:fill="auto"/>
            <w:noWrap/>
            <w:vAlign w:val="bottom"/>
            <w:hideMark/>
          </w:tcPr>
          <w:p w14:paraId="0C99566E"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E2023013740</w:t>
            </w:r>
          </w:p>
        </w:tc>
        <w:tc>
          <w:tcPr>
            <w:tcW w:w="6379" w:type="dxa"/>
            <w:tcBorders>
              <w:top w:val="nil"/>
              <w:left w:val="nil"/>
              <w:bottom w:val="single" w:sz="4" w:space="0" w:color="auto"/>
              <w:right w:val="single" w:sz="4" w:space="0" w:color="auto"/>
            </w:tcBorders>
            <w:shd w:val="clear" w:color="auto" w:fill="auto"/>
            <w:noWrap/>
            <w:vAlign w:val="bottom"/>
            <w:hideMark/>
          </w:tcPr>
          <w:p w14:paraId="71956EDC" w14:textId="77777777" w:rsidR="008E7F6F" w:rsidRPr="008E7F6F" w:rsidRDefault="008E7F6F" w:rsidP="008E7F6F">
            <w:pPr>
              <w:ind w:left="0"/>
              <w:rPr>
                <w:rFonts w:ascii="Bookman Old Style" w:hAnsi="Bookman Old Style" w:cs="Calibri"/>
                <w:color w:val="000000"/>
                <w:sz w:val="22"/>
                <w:szCs w:val="22"/>
                <w:lang w:val="es-CO" w:eastAsia="es-CO"/>
              </w:rPr>
            </w:pPr>
            <w:r w:rsidRPr="008E7F6F">
              <w:rPr>
                <w:rFonts w:ascii="Bookman Old Style" w:hAnsi="Bookman Old Style" w:cs="Calibri"/>
                <w:color w:val="000000"/>
                <w:sz w:val="22"/>
                <w:szCs w:val="22"/>
                <w:lang w:val="es-CO" w:eastAsia="es-CO"/>
              </w:rPr>
              <w:t>SUPERSERVICIOS</w:t>
            </w:r>
          </w:p>
        </w:tc>
      </w:tr>
    </w:tbl>
    <w:p w14:paraId="3BDE600A" w14:textId="77777777" w:rsidR="008E7F6F" w:rsidRDefault="008E7F6F" w:rsidP="007C6C69">
      <w:pPr>
        <w:ind w:left="0"/>
        <w:jc w:val="both"/>
        <w:rPr>
          <w:rFonts w:ascii="Bookman Old Style" w:hAnsi="Bookman Old Style"/>
        </w:rPr>
      </w:pPr>
    </w:p>
    <w:p w14:paraId="4C5BE1BA" w14:textId="7095BF72" w:rsidR="007C6C69" w:rsidRDefault="007C6C69" w:rsidP="007B4D7A">
      <w:pPr>
        <w:spacing w:line="259" w:lineRule="auto"/>
        <w:ind w:left="142" w:right="142"/>
        <w:jc w:val="both"/>
        <w:rPr>
          <w:rFonts w:ascii="Bookman Old Style" w:hAnsi="Bookman Old Style"/>
        </w:rPr>
      </w:pPr>
      <w:r>
        <w:rPr>
          <w:rFonts w:ascii="Bookman Old Style" w:hAnsi="Bookman Old Style"/>
        </w:rPr>
        <w:t>El análisis y respuesta a los comentarios recibidos al proyecto de resolución, así como las consideraciones adicionales de la Comisión se encuentran en el documento soporte de la resolución.</w:t>
      </w:r>
    </w:p>
    <w:p w14:paraId="3D3A7AF1" w14:textId="77777777" w:rsidR="007C6C69" w:rsidRDefault="007C6C69" w:rsidP="007B4D7A">
      <w:pPr>
        <w:spacing w:line="259" w:lineRule="auto"/>
        <w:ind w:left="142" w:right="142"/>
        <w:jc w:val="both"/>
        <w:rPr>
          <w:rFonts w:ascii="Bookman Old Style" w:hAnsi="Bookman Old Style"/>
        </w:rPr>
      </w:pPr>
    </w:p>
    <w:p w14:paraId="246A7066" w14:textId="3D5CC54D" w:rsidR="007C6C69" w:rsidRDefault="007C6C69" w:rsidP="007B4D7A">
      <w:pPr>
        <w:spacing w:line="259" w:lineRule="auto"/>
        <w:ind w:left="142" w:right="142"/>
        <w:jc w:val="both"/>
        <w:rPr>
          <w:rFonts w:ascii="Bookman Old Style" w:hAnsi="Bookman Old Style"/>
        </w:rPr>
      </w:pPr>
      <w:r>
        <w:rPr>
          <w:rFonts w:ascii="Bookman Old Style" w:hAnsi="Bookman Old Style"/>
        </w:rPr>
        <w:t>Diligenciado el cuestionario de que trata el artículo 2.2.2.30.</w:t>
      </w:r>
      <w:r w:rsidR="001A64EA">
        <w:rPr>
          <w:rFonts w:ascii="Bookman Old Style" w:hAnsi="Bookman Old Style"/>
        </w:rPr>
        <w:t>5</w:t>
      </w:r>
      <w:r>
        <w:rPr>
          <w:rFonts w:ascii="Bookman Old Style" w:hAnsi="Bookman Old Style"/>
        </w:rPr>
        <w:t xml:space="preserve"> del Decreto 1074 de 2015, se encontró que el ajuste regulatorio propuesto no tiene incidencia sobre la libre competencia, por lo cual no fue informado a la Superintendencia de Industria y Comercio -</w:t>
      </w:r>
      <w:r w:rsidR="007B4D7A">
        <w:rPr>
          <w:rFonts w:ascii="Bookman Old Style" w:hAnsi="Bookman Old Style"/>
        </w:rPr>
        <w:t xml:space="preserve"> </w:t>
      </w:r>
      <w:r>
        <w:rPr>
          <w:rFonts w:ascii="Bookman Old Style" w:hAnsi="Bookman Old Style"/>
        </w:rPr>
        <w:t xml:space="preserve">SIC. </w:t>
      </w:r>
    </w:p>
    <w:p w14:paraId="1A941DE3" w14:textId="77777777" w:rsidR="007C6C69" w:rsidRDefault="007C6C69" w:rsidP="007B4D7A">
      <w:pPr>
        <w:spacing w:line="259" w:lineRule="auto"/>
        <w:ind w:left="142" w:right="142"/>
        <w:jc w:val="both"/>
        <w:rPr>
          <w:rFonts w:ascii="Bookman Old Style" w:hAnsi="Bookman Old Style"/>
        </w:rPr>
      </w:pPr>
    </w:p>
    <w:p w14:paraId="0A241DB1" w14:textId="2B130451" w:rsidR="007C6C69" w:rsidRDefault="007C6C69" w:rsidP="007B4D7A">
      <w:pPr>
        <w:spacing w:line="259" w:lineRule="auto"/>
        <w:ind w:left="142" w:right="142"/>
        <w:jc w:val="both"/>
        <w:rPr>
          <w:rFonts w:ascii="Bookman Old Style" w:hAnsi="Bookman Old Style"/>
        </w:rPr>
      </w:pPr>
      <w:r>
        <w:rPr>
          <w:rFonts w:ascii="Bookman Old Style" w:hAnsi="Bookman Old Style"/>
        </w:rPr>
        <w:t>La Comisión de Regulación de Energía y Gas</w:t>
      </w:r>
      <w:r w:rsidR="002B2092">
        <w:rPr>
          <w:rFonts w:ascii="Bookman Old Style" w:hAnsi="Bookman Old Style"/>
        </w:rPr>
        <w:t>,</w:t>
      </w:r>
      <w:r>
        <w:rPr>
          <w:rFonts w:ascii="Bookman Old Style" w:hAnsi="Bookman Old Style"/>
        </w:rPr>
        <w:t xml:space="preserve"> en su sesión CREG </w:t>
      </w:r>
      <w:r w:rsidR="00406132">
        <w:rPr>
          <w:rFonts w:ascii="Bookman Old Style" w:hAnsi="Bookman Old Style"/>
        </w:rPr>
        <w:t xml:space="preserve">1306 </w:t>
      </w:r>
      <w:r>
        <w:rPr>
          <w:rFonts w:ascii="Bookman Old Style" w:hAnsi="Bookman Old Style"/>
        </w:rPr>
        <w:t xml:space="preserve">de </w:t>
      </w:r>
      <w:r w:rsidR="00406132">
        <w:rPr>
          <w:rFonts w:ascii="Bookman Old Style" w:hAnsi="Bookman Old Style"/>
        </w:rPr>
        <w:t xml:space="preserve">30 de enero de </w:t>
      </w:r>
      <w:r>
        <w:rPr>
          <w:rFonts w:ascii="Bookman Old Style" w:hAnsi="Bookman Old Style"/>
        </w:rPr>
        <w:t>202</w:t>
      </w:r>
      <w:r w:rsidR="00FE11E8">
        <w:rPr>
          <w:rFonts w:ascii="Bookman Old Style" w:hAnsi="Bookman Old Style"/>
        </w:rPr>
        <w:t>4</w:t>
      </w:r>
      <w:r w:rsidR="002B2092">
        <w:rPr>
          <w:rFonts w:ascii="Bookman Old Style" w:hAnsi="Bookman Old Style"/>
        </w:rPr>
        <w:t>,</w:t>
      </w:r>
      <w:r>
        <w:rPr>
          <w:rFonts w:ascii="Bookman Old Style" w:hAnsi="Bookman Old Style"/>
        </w:rPr>
        <w:t xml:space="preserve"> acordó expedir la presente resolución. </w:t>
      </w:r>
    </w:p>
    <w:p w14:paraId="78D5E0F4" w14:textId="77777777" w:rsidR="007C6C69" w:rsidRDefault="007C6C69" w:rsidP="007C6C69">
      <w:pPr>
        <w:ind w:left="0"/>
        <w:jc w:val="both"/>
        <w:rPr>
          <w:rFonts w:ascii="Bookman Old Style" w:hAnsi="Bookman Old Style"/>
        </w:rPr>
      </w:pPr>
    </w:p>
    <w:p w14:paraId="6DF017E4" w14:textId="77777777" w:rsidR="007C6C69" w:rsidRPr="00C435C3" w:rsidRDefault="007C6C69" w:rsidP="007C6C69">
      <w:pPr>
        <w:ind w:left="0"/>
        <w:jc w:val="both"/>
        <w:rPr>
          <w:rFonts w:ascii="Bookman Old Style" w:hAnsi="Bookman Old Style"/>
        </w:rPr>
      </w:pPr>
    </w:p>
    <w:p w14:paraId="3DB41754" w14:textId="77777777" w:rsidR="00045D3D" w:rsidRPr="000C7437" w:rsidRDefault="00045D3D" w:rsidP="000C7437">
      <w:pPr>
        <w:ind w:left="0"/>
        <w:jc w:val="center"/>
        <w:rPr>
          <w:rFonts w:ascii="Bookman Old Style" w:hAnsi="Bookman Old Style"/>
        </w:rPr>
      </w:pPr>
    </w:p>
    <w:p w14:paraId="40EFC463" w14:textId="77777777" w:rsidR="00045D3D" w:rsidRPr="00C435C3" w:rsidRDefault="00045D3D" w:rsidP="000C7437">
      <w:pPr>
        <w:suppressAutoHyphens/>
        <w:ind w:left="0"/>
        <w:jc w:val="center"/>
        <w:rPr>
          <w:rFonts w:ascii="Bookman Old Style" w:hAnsi="Bookman Old Style"/>
          <w:spacing w:val="-3"/>
        </w:rPr>
      </w:pPr>
      <w:r w:rsidRPr="00C435C3">
        <w:rPr>
          <w:rFonts w:ascii="Bookman Old Style" w:hAnsi="Bookman Old Style"/>
          <w:b/>
          <w:spacing w:val="-3"/>
        </w:rPr>
        <w:t>R E S U E L V E:</w:t>
      </w:r>
    </w:p>
    <w:p w14:paraId="494DDFC2" w14:textId="77777777" w:rsidR="00045D3D" w:rsidRDefault="00045D3D" w:rsidP="000C7437">
      <w:pPr>
        <w:ind w:left="0"/>
        <w:jc w:val="center"/>
        <w:rPr>
          <w:rFonts w:ascii="Bookman Old Style" w:hAnsi="Bookman Old Style"/>
        </w:rPr>
      </w:pPr>
    </w:p>
    <w:p w14:paraId="2B74BEB7" w14:textId="13994F07" w:rsidR="001F76C7" w:rsidRDefault="001F76C7" w:rsidP="000C7437">
      <w:pPr>
        <w:numPr>
          <w:ilvl w:val="0"/>
          <w:numId w:val="7"/>
        </w:numPr>
        <w:tabs>
          <w:tab w:val="left" w:pos="1701"/>
          <w:tab w:val="num" w:pos="2150"/>
        </w:tabs>
        <w:spacing w:before="120" w:after="240"/>
        <w:ind w:left="142"/>
        <w:jc w:val="both"/>
        <w:rPr>
          <w:rFonts w:ascii="Bookman Old Style" w:hAnsi="Bookman Old Style" w:cs="Arial"/>
        </w:rPr>
      </w:pPr>
      <w:bookmarkStart w:id="2" w:name="_Ref98939091"/>
      <w:r>
        <w:rPr>
          <w:rFonts w:ascii="Bookman Old Style" w:hAnsi="Bookman Old Style" w:cs="Arial"/>
        </w:rPr>
        <w:t>Modifíquese de forma transitoria el artículo 37 de la Resolución CREG 108 de 1997</w:t>
      </w:r>
      <w:r w:rsidR="002B2092">
        <w:rPr>
          <w:rFonts w:ascii="Bookman Old Style" w:hAnsi="Bookman Old Style" w:cs="Arial"/>
        </w:rPr>
        <w:t>,</w:t>
      </w:r>
      <w:r>
        <w:rPr>
          <w:rFonts w:ascii="Bookman Old Style" w:hAnsi="Bookman Old Style" w:cs="Arial"/>
        </w:rPr>
        <w:t xml:space="preserve"> así:</w:t>
      </w:r>
    </w:p>
    <w:bookmarkEnd w:id="2"/>
    <w:p w14:paraId="38C54D38" w14:textId="1CD1CA86" w:rsidR="001F76C7" w:rsidRPr="005262C3" w:rsidRDefault="001F76C7" w:rsidP="000C7437">
      <w:pPr>
        <w:tabs>
          <w:tab w:val="left" w:pos="1701"/>
        </w:tabs>
        <w:spacing w:before="240" w:after="240"/>
        <w:ind w:left="426"/>
        <w:jc w:val="both"/>
        <w:rPr>
          <w:rFonts w:ascii="Bookman Old Style" w:hAnsi="Bookman Old Style" w:cs="Arial"/>
          <w:i/>
          <w:iCs/>
        </w:rPr>
      </w:pPr>
      <w:r w:rsidRPr="005262C3">
        <w:rPr>
          <w:rFonts w:ascii="Bookman Old Style" w:hAnsi="Bookman Old Style" w:cs="Arial"/>
          <w:b/>
          <w:bCs/>
          <w:i/>
          <w:iCs/>
        </w:rPr>
        <w:t>“Artículo 37º.</w:t>
      </w:r>
      <w:r w:rsidRPr="005262C3">
        <w:rPr>
          <w:rFonts w:ascii="Bookman Old Style" w:hAnsi="Bookman Old Style" w:cs="Arial"/>
          <w:i/>
          <w:iCs/>
        </w:rPr>
        <w:t xml:space="preserve"> </w:t>
      </w:r>
      <w:r w:rsidRPr="00503AC6">
        <w:rPr>
          <w:rFonts w:ascii="Bookman Old Style" w:hAnsi="Bookman Old Style" w:cs="Arial"/>
          <w:b/>
          <w:bCs/>
          <w:i/>
          <w:iCs/>
        </w:rPr>
        <w:t>Investigación de desviaciones significativas.</w:t>
      </w:r>
      <w:r w:rsidR="00DC2E4D">
        <w:rPr>
          <w:rFonts w:ascii="Bookman Old Style" w:hAnsi="Bookman Old Style" w:cs="Arial"/>
          <w:b/>
          <w:bCs/>
          <w:i/>
          <w:iCs/>
        </w:rPr>
        <w:t xml:space="preserve"> </w:t>
      </w:r>
      <w:r w:rsidRPr="005262C3">
        <w:rPr>
          <w:rFonts w:ascii="Bookman Old Style" w:hAnsi="Bookman Old Style" w:cs="Arial"/>
          <w:i/>
          <w:iCs/>
        </w:rPr>
        <w:t>Para elaborar las facturas, es obligación de las empresas adoptar mecanismos eficientes que permitan someter su facturación a investigación de desviaciones significativas entre el consumo registrado del suscriptor o usuario durante un período de facturación y sus promedios de consumo anteriores.</w:t>
      </w:r>
    </w:p>
    <w:p w14:paraId="043035EA" w14:textId="2BFC7F8B" w:rsidR="001F76C7" w:rsidRDefault="001F76C7" w:rsidP="000C7437">
      <w:pPr>
        <w:tabs>
          <w:tab w:val="left" w:pos="1701"/>
        </w:tabs>
        <w:spacing w:before="240" w:after="240"/>
        <w:jc w:val="both"/>
        <w:rPr>
          <w:rFonts w:ascii="Bookman Old Style" w:hAnsi="Bookman Old Style" w:cs="Arial"/>
          <w:i/>
          <w:iCs/>
        </w:rPr>
      </w:pPr>
      <w:bookmarkStart w:id="3" w:name="Art:37,Par:1"/>
      <w:bookmarkEnd w:id="3"/>
      <w:r w:rsidRPr="005262C3">
        <w:rPr>
          <w:rFonts w:ascii="Bookman Old Style" w:hAnsi="Bookman Old Style" w:cs="Arial"/>
          <w:i/>
          <w:iCs/>
        </w:rPr>
        <w:t xml:space="preserve">Parágrafo 1º. Se entenderá por desviaciones significativas, en el período de facturación correspondiente, </w:t>
      </w:r>
      <w:r w:rsidR="007C6C69">
        <w:rPr>
          <w:rFonts w:ascii="Bookman Old Style" w:hAnsi="Bookman Old Style" w:cs="Arial"/>
          <w:i/>
          <w:iCs/>
        </w:rPr>
        <w:t xml:space="preserve">la variación </w:t>
      </w:r>
      <w:r w:rsidRPr="005262C3">
        <w:rPr>
          <w:rFonts w:ascii="Bookman Old Style" w:hAnsi="Bookman Old Style" w:cs="Arial"/>
          <w:i/>
          <w:iCs/>
        </w:rPr>
        <w:t xml:space="preserve">en los consumos que </w:t>
      </w:r>
      <w:r>
        <w:rPr>
          <w:rFonts w:ascii="Bookman Old Style" w:hAnsi="Bookman Old Style" w:cs="Arial"/>
          <w:i/>
          <w:iCs/>
        </w:rPr>
        <w:t xml:space="preserve">estén por </w:t>
      </w:r>
      <w:r w:rsidR="007C6C69">
        <w:rPr>
          <w:rFonts w:ascii="Bookman Old Style" w:hAnsi="Bookman Old Style" w:cs="Arial"/>
          <w:i/>
          <w:iCs/>
        </w:rPr>
        <w:t xml:space="preserve">encima </w:t>
      </w:r>
      <w:r w:rsidR="00341DD2">
        <w:rPr>
          <w:rFonts w:ascii="Bookman Old Style" w:hAnsi="Bookman Old Style" w:cs="Arial"/>
          <w:i/>
          <w:iCs/>
        </w:rPr>
        <w:t xml:space="preserve">o por debajo </w:t>
      </w:r>
      <w:r w:rsidR="007C6C69">
        <w:rPr>
          <w:rFonts w:ascii="Bookman Old Style" w:hAnsi="Bookman Old Style" w:cs="Arial"/>
          <w:i/>
          <w:iCs/>
        </w:rPr>
        <w:t>de</w:t>
      </w:r>
      <w:r w:rsidR="00341DD2">
        <w:rPr>
          <w:rFonts w:ascii="Bookman Old Style" w:hAnsi="Bookman Old Style" w:cs="Arial"/>
          <w:i/>
          <w:iCs/>
        </w:rPr>
        <w:t xml:space="preserve"> </w:t>
      </w:r>
      <w:r w:rsidR="007C6C69">
        <w:rPr>
          <w:rFonts w:ascii="Bookman Old Style" w:hAnsi="Bookman Old Style" w:cs="Arial"/>
          <w:i/>
          <w:iCs/>
        </w:rPr>
        <w:t>l</w:t>
      </w:r>
      <w:r w:rsidR="00341DD2">
        <w:rPr>
          <w:rFonts w:ascii="Bookman Old Style" w:hAnsi="Bookman Old Style" w:cs="Arial"/>
          <w:i/>
          <w:iCs/>
        </w:rPr>
        <w:t>os</w:t>
      </w:r>
      <w:r w:rsidR="007C6C69">
        <w:rPr>
          <w:rFonts w:ascii="Bookman Old Style" w:hAnsi="Bookman Old Style" w:cs="Arial"/>
          <w:i/>
          <w:iCs/>
        </w:rPr>
        <w:t xml:space="preserve"> </w:t>
      </w:r>
      <w:r>
        <w:rPr>
          <w:rFonts w:ascii="Bookman Old Style" w:hAnsi="Bookman Old Style" w:cs="Arial"/>
          <w:i/>
          <w:iCs/>
        </w:rPr>
        <w:t>límite</w:t>
      </w:r>
      <w:r w:rsidR="00341DD2">
        <w:rPr>
          <w:rFonts w:ascii="Bookman Old Style" w:hAnsi="Bookman Old Style" w:cs="Arial"/>
          <w:i/>
          <w:iCs/>
        </w:rPr>
        <w:t>s</w:t>
      </w:r>
      <w:r>
        <w:rPr>
          <w:rFonts w:ascii="Bookman Old Style" w:hAnsi="Bookman Old Style" w:cs="Arial"/>
          <w:i/>
          <w:iCs/>
        </w:rPr>
        <w:t xml:space="preserve"> </w:t>
      </w:r>
      <w:r w:rsidR="007C6C69">
        <w:rPr>
          <w:rFonts w:ascii="Bookman Old Style" w:hAnsi="Bookman Old Style" w:cs="Arial"/>
          <w:i/>
          <w:iCs/>
        </w:rPr>
        <w:t>establecido</w:t>
      </w:r>
      <w:r w:rsidR="003C2405">
        <w:rPr>
          <w:rFonts w:ascii="Bookman Old Style" w:hAnsi="Bookman Old Style" w:cs="Arial"/>
          <w:i/>
          <w:iCs/>
        </w:rPr>
        <w:t>s</w:t>
      </w:r>
      <w:r w:rsidR="007C6C69">
        <w:rPr>
          <w:rFonts w:ascii="Bookman Old Style" w:hAnsi="Bookman Old Style" w:cs="Arial"/>
          <w:i/>
          <w:iCs/>
        </w:rPr>
        <w:t xml:space="preserve"> </w:t>
      </w:r>
      <w:r>
        <w:rPr>
          <w:rFonts w:ascii="Bookman Old Style" w:hAnsi="Bookman Old Style" w:cs="Arial"/>
          <w:i/>
          <w:iCs/>
        </w:rPr>
        <w:t>conforme a</w:t>
      </w:r>
      <w:r w:rsidR="008E69E3">
        <w:rPr>
          <w:rFonts w:ascii="Bookman Old Style" w:hAnsi="Bookman Old Style" w:cs="Arial"/>
          <w:i/>
          <w:iCs/>
        </w:rPr>
        <w:t>l</w:t>
      </w:r>
      <w:r>
        <w:rPr>
          <w:rFonts w:ascii="Bookman Old Style" w:hAnsi="Bookman Old Style" w:cs="Arial"/>
          <w:i/>
          <w:iCs/>
        </w:rPr>
        <w:t xml:space="preserve"> siguiente</w:t>
      </w:r>
      <w:r w:rsidR="008E69E3">
        <w:rPr>
          <w:rFonts w:ascii="Bookman Old Style" w:hAnsi="Bookman Old Style" w:cs="Arial"/>
          <w:i/>
          <w:iCs/>
        </w:rPr>
        <w:t xml:space="preserve"> procedimiento</w:t>
      </w:r>
      <w:r>
        <w:rPr>
          <w:rFonts w:ascii="Bookman Old Style" w:hAnsi="Bookman Old Style" w:cs="Arial"/>
          <w:i/>
          <w:iCs/>
        </w:rPr>
        <w:t xml:space="preserve">: </w:t>
      </w:r>
      <w:r w:rsidRPr="005262C3">
        <w:rPr>
          <w:rFonts w:ascii="Bookman Old Style" w:hAnsi="Bookman Old Style" w:cs="Arial"/>
          <w:i/>
          <w:iCs/>
        </w:rPr>
        <w:t xml:space="preserve"> </w:t>
      </w:r>
    </w:p>
    <w:p w14:paraId="4890F9F2" w14:textId="17C9350A" w:rsidR="001F76C7" w:rsidRDefault="001F76C7" w:rsidP="000C7437">
      <w:pPr>
        <w:pStyle w:val="Prrafodelista"/>
        <w:numPr>
          <w:ilvl w:val="0"/>
          <w:numId w:val="23"/>
        </w:numPr>
        <w:tabs>
          <w:tab w:val="left" w:pos="1701"/>
        </w:tabs>
        <w:spacing w:before="120" w:after="120"/>
        <w:ind w:left="993"/>
        <w:jc w:val="both"/>
        <w:rPr>
          <w:rFonts w:ascii="Bookman Old Style" w:hAnsi="Bookman Old Style" w:cs="Arial"/>
          <w:i/>
          <w:iCs/>
          <w:sz w:val="24"/>
          <w:szCs w:val="24"/>
          <w:lang w:val="es-ES"/>
        </w:rPr>
      </w:pPr>
      <w:r w:rsidRPr="001F76C7">
        <w:rPr>
          <w:rFonts w:ascii="Bookman Old Style" w:hAnsi="Bookman Old Style" w:cs="Arial"/>
          <w:i/>
          <w:iCs/>
          <w:sz w:val="24"/>
          <w:szCs w:val="24"/>
          <w:lang w:val="es-ES"/>
        </w:rPr>
        <w:t xml:space="preserve">Base de información: Se utilizará </w:t>
      </w:r>
      <w:r w:rsidR="00924746">
        <w:rPr>
          <w:rFonts w:ascii="Bookman Old Style" w:hAnsi="Bookman Old Style" w:cs="Arial"/>
          <w:i/>
          <w:iCs/>
          <w:sz w:val="24"/>
          <w:szCs w:val="24"/>
          <w:lang w:val="es-ES"/>
        </w:rPr>
        <w:t xml:space="preserve">la </w:t>
      </w:r>
      <w:r w:rsidRPr="001F76C7">
        <w:rPr>
          <w:rFonts w:ascii="Bookman Old Style" w:hAnsi="Bookman Old Style" w:cs="Arial"/>
          <w:i/>
          <w:iCs/>
          <w:sz w:val="24"/>
          <w:szCs w:val="24"/>
          <w:lang w:val="es-ES"/>
        </w:rPr>
        <w:t>información de los consumos reales del usuario de las facturas de los últimos doce (12) períodos</w:t>
      </w:r>
      <w:r w:rsidR="00015C05">
        <w:rPr>
          <w:rFonts w:ascii="Bookman Old Style" w:hAnsi="Bookman Old Style" w:cs="Arial"/>
          <w:i/>
          <w:iCs/>
          <w:sz w:val="24"/>
          <w:szCs w:val="24"/>
          <w:lang w:val="es-ES"/>
        </w:rPr>
        <w:t xml:space="preserve"> </w:t>
      </w:r>
      <w:r w:rsidR="00434137">
        <w:rPr>
          <w:rFonts w:ascii="Bookman Old Style" w:hAnsi="Bookman Old Style" w:cs="Arial"/>
          <w:i/>
          <w:iCs/>
          <w:sz w:val="24"/>
          <w:szCs w:val="24"/>
          <w:lang w:val="es-ES"/>
        </w:rPr>
        <w:t xml:space="preserve">anteriores al mes de análisis </w:t>
      </w:r>
      <w:r w:rsidR="008F3246">
        <w:rPr>
          <w:rFonts w:ascii="Bookman Old Style" w:hAnsi="Bookman Old Style" w:cs="Arial"/>
          <w:i/>
          <w:iCs/>
          <w:sz w:val="24"/>
          <w:szCs w:val="24"/>
          <w:lang w:val="es-ES"/>
        </w:rPr>
        <w:t xml:space="preserve">y </w:t>
      </w:r>
      <w:r w:rsidR="00015C05">
        <w:rPr>
          <w:rFonts w:ascii="Bookman Old Style" w:hAnsi="Bookman Old Style" w:cs="Arial"/>
          <w:i/>
          <w:iCs/>
          <w:sz w:val="24"/>
          <w:szCs w:val="24"/>
          <w:lang w:val="es-ES"/>
        </w:rPr>
        <w:t>que tengan consumo diferente a cero</w:t>
      </w:r>
      <w:r w:rsidRPr="001F76C7">
        <w:rPr>
          <w:rFonts w:ascii="Bookman Old Style" w:hAnsi="Bookman Old Style" w:cs="Arial"/>
          <w:i/>
          <w:iCs/>
          <w:sz w:val="24"/>
          <w:szCs w:val="24"/>
          <w:lang w:val="es-ES"/>
        </w:rPr>
        <w:t>, si la facturación es mensual</w:t>
      </w:r>
      <w:r w:rsidR="008F3246">
        <w:rPr>
          <w:rFonts w:ascii="Bookman Old Style" w:hAnsi="Bookman Old Style" w:cs="Arial"/>
          <w:i/>
          <w:iCs/>
          <w:sz w:val="24"/>
          <w:szCs w:val="24"/>
          <w:lang w:val="es-ES"/>
        </w:rPr>
        <w:t xml:space="preserve"> o</w:t>
      </w:r>
      <w:r w:rsidRPr="001F76C7">
        <w:rPr>
          <w:rFonts w:ascii="Bookman Old Style" w:hAnsi="Bookman Old Style" w:cs="Arial"/>
          <w:i/>
          <w:iCs/>
          <w:sz w:val="24"/>
          <w:szCs w:val="24"/>
          <w:lang w:val="es-ES"/>
        </w:rPr>
        <w:t xml:space="preserve"> de los últimos seis (6) períodos si la factura</w:t>
      </w:r>
      <w:r w:rsidR="003F3C7B" w:rsidRPr="0022607B">
        <w:rPr>
          <w:rFonts w:ascii="Bookman Old Style" w:hAnsi="Bookman Old Style" w:cs="Arial"/>
          <w:i/>
          <w:iCs/>
          <w:sz w:val="24"/>
          <w:szCs w:val="24"/>
          <w:lang w:val="es-ES"/>
        </w:rPr>
        <w:t>ción</w:t>
      </w:r>
      <w:r w:rsidRPr="001F76C7">
        <w:rPr>
          <w:rFonts w:ascii="Bookman Old Style" w:hAnsi="Bookman Old Style" w:cs="Arial"/>
          <w:i/>
          <w:iCs/>
          <w:sz w:val="24"/>
          <w:szCs w:val="24"/>
          <w:lang w:val="es-ES"/>
        </w:rPr>
        <w:t xml:space="preserve"> es</w:t>
      </w:r>
      <w:r w:rsidR="007E0E3A">
        <w:rPr>
          <w:rFonts w:ascii="Bookman Old Style" w:hAnsi="Bookman Old Style" w:cs="Arial"/>
          <w:i/>
          <w:iCs/>
          <w:sz w:val="24"/>
          <w:szCs w:val="24"/>
          <w:lang w:val="es-ES"/>
        </w:rPr>
        <w:t xml:space="preserve"> bimestral</w:t>
      </w:r>
      <w:r w:rsidR="00114B15">
        <w:rPr>
          <w:rFonts w:ascii="Bookman Old Style" w:hAnsi="Bookman Old Style" w:cs="Arial"/>
          <w:i/>
          <w:iCs/>
          <w:sz w:val="24"/>
          <w:szCs w:val="24"/>
          <w:lang w:val="es-ES"/>
        </w:rPr>
        <w:t xml:space="preserve"> o de los últimos cuatro (4) períodos si la factura</w:t>
      </w:r>
      <w:r w:rsidR="003F3C7B" w:rsidRPr="0022607B">
        <w:rPr>
          <w:rFonts w:ascii="Bookman Old Style" w:hAnsi="Bookman Old Style" w:cs="Arial"/>
          <w:i/>
          <w:iCs/>
          <w:sz w:val="24"/>
          <w:szCs w:val="24"/>
          <w:lang w:val="es-ES"/>
        </w:rPr>
        <w:t>ción</w:t>
      </w:r>
      <w:r w:rsidR="00114B15">
        <w:rPr>
          <w:rFonts w:ascii="Bookman Old Style" w:hAnsi="Bookman Old Style" w:cs="Arial"/>
          <w:i/>
          <w:iCs/>
          <w:sz w:val="24"/>
          <w:szCs w:val="24"/>
          <w:lang w:val="es-ES"/>
        </w:rPr>
        <w:t xml:space="preserve"> es trimestral</w:t>
      </w:r>
      <w:r w:rsidRPr="001F76C7">
        <w:rPr>
          <w:rFonts w:ascii="Bookman Old Style" w:hAnsi="Bookman Old Style" w:cs="Arial"/>
          <w:i/>
          <w:iCs/>
          <w:sz w:val="24"/>
          <w:szCs w:val="24"/>
          <w:lang w:val="es-ES"/>
        </w:rPr>
        <w:t xml:space="preserve">. </w:t>
      </w:r>
    </w:p>
    <w:p w14:paraId="71596723" w14:textId="6F83CC78" w:rsidR="008E69E3" w:rsidRDefault="008E69E3" w:rsidP="000C7437">
      <w:pPr>
        <w:pStyle w:val="Prrafodelista"/>
        <w:numPr>
          <w:ilvl w:val="0"/>
          <w:numId w:val="23"/>
        </w:numPr>
        <w:tabs>
          <w:tab w:val="left" w:pos="1701"/>
        </w:tabs>
        <w:spacing w:before="120" w:after="120"/>
        <w:ind w:left="993"/>
        <w:jc w:val="both"/>
        <w:rPr>
          <w:rFonts w:ascii="Bookman Old Style" w:hAnsi="Bookman Old Style" w:cs="Arial"/>
          <w:i/>
          <w:iCs/>
          <w:sz w:val="24"/>
          <w:szCs w:val="24"/>
          <w:lang w:val="es-ES"/>
        </w:rPr>
      </w:pPr>
      <w:r>
        <w:rPr>
          <w:rFonts w:ascii="Bookman Old Style" w:hAnsi="Bookman Old Style" w:cs="Arial"/>
          <w:i/>
          <w:iCs/>
          <w:sz w:val="24"/>
          <w:szCs w:val="24"/>
          <w:lang w:val="es-ES"/>
        </w:rPr>
        <w:t>Tratamiento de la información</w:t>
      </w:r>
      <w:r w:rsidR="00924746">
        <w:rPr>
          <w:rFonts w:ascii="Bookman Old Style" w:hAnsi="Bookman Old Style" w:cs="Arial"/>
          <w:i/>
          <w:iCs/>
          <w:sz w:val="24"/>
          <w:szCs w:val="24"/>
          <w:lang w:val="es-ES"/>
        </w:rPr>
        <w:t xml:space="preserve">: </w:t>
      </w:r>
      <w:r w:rsidR="001F76C7" w:rsidRPr="008E69E3">
        <w:rPr>
          <w:rFonts w:ascii="Bookman Old Style" w:hAnsi="Bookman Old Style" w:cs="Arial"/>
          <w:i/>
          <w:iCs/>
          <w:sz w:val="24"/>
          <w:szCs w:val="24"/>
          <w:lang w:val="es-ES"/>
        </w:rPr>
        <w:t>Cada uno de los consumos reales</w:t>
      </w:r>
      <w:r w:rsidR="00591154">
        <w:rPr>
          <w:rFonts w:ascii="Bookman Old Style" w:hAnsi="Bookman Old Style" w:cs="Arial"/>
          <w:i/>
          <w:iCs/>
          <w:sz w:val="24"/>
          <w:szCs w:val="24"/>
          <w:lang w:val="es-ES"/>
        </w:rPr>
        <w:t xml:space="preserve"> entendido </w:t>
      </w:r>
      <w:r w:rsidR="00900370">
        <w:rPr>
          <w:rFonts w:ascii="Bookman Old Style" w:hAnsi="Bookman Old Style" w:cs="Arial"/>
          <w:i/>
          <w:iCs/>
          <w:sz w:val="24"/>
          <w:szCs w:val="24"/>
          <w:lang w:val="es-ES"/>
        </w:rPr>
        <w:t xml:space="preserve">como </w:t>
      </w:r>
      <w:r w:rsidR="003C2405">
        <w:rPr>
          <w:rFonts w:ascii="Bookman Old Style" w:hAnsi="Bookman Old Style" w:cs="Arial"/>
          <w:i/>
          <w:iCs/>
          <w:sz w:val="24"/>
          <w:szCs w:val="24"/>
          <w:lang w:val="es-ES"/>
        </w:rPr>
        <w:t>la diferencia de las lecturas</w:t>
      </w:r>
      <w:r w:rsidR="008C04E0">
        <w:rPr>
          <w:rFonts w:ascii="Bookman Old Style" w:hAnsi="Bookman Old Style" w:cs="Arial"/>
          <w:i/>
          <w:iCs/>
          <w:sz w:val="24"/>
          <w:szCs w:val="24"/>
          <w:lang w:val="es-ES"/>
        </w:rPr>
        <w:t xml:space="preserve"> </w:t>
      </w:r>
      <w:r w:rsidR="003C2405">
        <w:rPr>
          <w:rFonts w:ascii="Bookman Old Style" w:hAnsi="Bookman Old Style" w:cs="Arial"/>
          <w:i/>
          <w:iCs/>
          <w:sz w:val="24"/>
          <w:szCs w:val="24"/>
          <w:lang w:val="es-ES"/>
        </w:rPr>
        <w:t>d</w:t>
      </w:r>
      <w:r w:rsidR="008C04E0">
        <w:rPr>
          <w:rFonts w:ascii="Bookman Old Style" w:hAnsi="Bookman Old Style" w:cs="Arial"/>
          <w:i/>
          <w:iCs/>
          <w:sz w:val="24"/>
          <w:szCs w:val="24"/>
          <w:lang w:val="es-ES"/>
        </w:rPr>
        <w:t>el medidor</w:t>
      </w:r>
      <w:r w:rsidR="00900370">
        <w:rPr>
          <w:rFonts w:ascii="Bookman Old Style" w:hAnsi="Bookman Old Style" w:cs="Arial"/>
          <w:i/>
          <w:iCs/>
          <w:sz w:val="24"/>
          <w:szCs w:val="24"/>
          <w:lang w:val="es-ES"/>
        </w:rPr>
        <w:t>,</w:t>
      </w:r>
      <w:r w:rsidR="001E0AEE">
        <w:rPr>
          <w:rFonts w:ascii="Bookman Old Style" w:hAnsi="Bookman Old Style" w:cs="Arial"/>
          <w:i/>
          <w:iCs/>
          <w:sz w:val="24"/>
          <w:szCs w:val="24"/>
          <w:lang w:val="es-ES"/>
        </w:rPr>
        <w:t xml:space="preserve"> </w:t>
      </w:r>
      <w:r w:rsidR="003C2405">
        <w:rPr>
          <w:rFonts w:ascii="Bookman Old Style" w:hAnsi="Bookman Old Style" w:cs="Arial"/>
          <w:i/>
          <w:iCs/>
          <w:sz w:val="24"/>
          <w:szCs w:val="24"/>
          <w:lang w:val="es-ES"/>
        </w:rPr>
        <w:t>correspondientes a</w:t>
      </w:r>
      <w:r w:rsidR="001F76C7" w:rsidRPr="008E69E3">
        <w:rPr>
          <w:rFonts w:ascii="Bookman Old Style" w:hAnsi="Bookman Old Style" w:cs="Arial"/>
          <w:i/>
          <w:iCs/>
          <w:sz w:val="24"/>
          <w:szCs w:val="24"/>
          <w:lang w:val="es-ES"/>
        </w:rPr>
        <w:t xml:space="preserve"> las facturas de los últimos doce (12) períodos </w:t>
      </w:r>
      <w:r w:rsidR="008F3246">
        <w:rPr>
          <w:rFonts w:ascii="Bookman Old Style" w:hAnsi="Bookman Old Style" w:cs="Arial"/>
          <w:i/>
          <w:iCs/>
          <w:sz w:val="24"/>
          <w:szCs w:val="24"/>
          <w:lang w:val="es-ES"/>
        </w:rPr>
        <w:t>anteriores al mes de análisis y que tengan consumo diferente a cero</w:t>
      </w:r>
      <w:r w:rsidR="008F3246" w:rsidRPr="008E69E3">
        <w:rPr>
          <w:rFonts w:ascii="Bookman Old Style" w:hAnsi="Bookman Old Style" w:cs="Arial"/>
          <w:i/>
          <w:iCs/>
          <w:sz w:val="24"/>
          <w:szCs w:val="24"/>
          <w:lang w:val="es-ES"/>
        </w:rPr>
        <w:t xml:space="preserve"> </w:t>
      </w:r>
      <w:r w:rsidR="001F76C7" w:rsidRPr="008E69E3">
        <w:rPr>
          <w:rFonts w:ascii="Bookman Old Style" w:hAnsi="Bookman Old Style" w:cs="Arial"/>
          <w:i/>
          <w:iCs/>
          <w:sz w:val="24"/>
          <w:szCs w:val="24"/>
          <w:lang w:val="es-ES"/>
        </w:rPr>
        <w:t>se normalizarán a meses de treinta (30) días</w:t>
      </w:r>
      <w:r w:rsidR="007E28EA">
        <w:rPr>
          <w:rFonts w:ascii="Bookman Old Style" w:hAnsi="Bookman Old Style" w:cs="Arial"/>
          <w:i/>
          <w:iCs/>
          <w:sz w:val="24"/>
          <w:szCs w:val="24"/>
          <w:lang w:val="es-ES"/>
        </w:rPr>
        <w:t>,</w:t>
      </w:r>
      <w:r w:rsidR="001F76C7" w:rsidRPr="008E69E3">
        <w:rPr>
          <w:rFonts w:ascii="Bookman Old Style" w:hAnsi="Bookman Old Style" w:cs="Arial"/>
          <w:i/>
          <w:iCs/>
          <w:sz w:val="24"/>
          <w:szCs w:val="24"/>
          <w:lang w:val="es-ES"/>
        </w:rPr>
        <w:t xml:space="preserve"> dividiendo el consumo facturado </w:t>
      </w:r>
      <w:r w:rsidR="00E954EA">
        <w:rPr>
          <w:rFonts w:ascii="Bookman Old Style" w:hAnsi="Bookman Old Style" w:cs="Arial"/>
          <w:i/>
          <w:iCs/>
          <w:sz w:val="24"/>
          <w:szCs w:val="24"/>
          <w:lang w:val="es-ES"/>
        </w:rPr>
        <w:t xml:space="preserve">en cada mes, </w:t>
      </w:r>
      <w:r w:rsidR="001F76C7" w:rsidRPr="008E69E3">
        <w:rPr>
          <w:rFonts w:ascii="Bookman Old Style" w:hAnsi="Bookman Old Style" w:cs="Arial"/>
          <w:i/>
          <w:iCs/>
          <w:sz w:val="24"/>
          <w:szCs w:val="24"/>
          <w:lang w:val="es-ES"/>
        </w:rPr>
        <w:t xml:space="preserve">entre el número de días </w:t>
      </w:r>
      <w:r w:rsidR="00E954EA">
        <w:rPr>
          <w:rFonts w:ascii="Bookman Old Style" w:hAnsi="Bookman Old Style" w:cs="Arial"/>
          <w:i/>
          <w:iCs/>
          <w:sz w:val="24"/>
          <w:szCs w:val="24"/>
          <w:lang w:val="es-ES"/>
        </w:rPr>
        <w:t xml:space="preserve">efectivamente </w:t>
      </w:r>
      <w:r w:rsidR="001F76C7" w:rsidRPr="008E69E3">
        <w:rPr>
          <w:rFonts w:ascii="Bookman Old Style" w:hAnsi="Bookman Old Style" w:cs="Arial"/>
          <w:i/>
          <w:iCs/>
          <w:sz w:val="24"/>
          <w:szCs w:val="24"/>
          <w:lang w:val="es-ES"/>
        </w:rPr>
        <w:t>facturados</w:t>
      </w:r>
      <w:r w:rsidR="00E954EA">
        <w:rPr>
          <w:rFonts w:ascii="Bookman Old Style" w:hAnsi="Bookman Old Style" w:cs="Arial"/>
          <w:i/>
          <w:iCs/>
          <w:sz w:val="24"/>
          <w:szCs w:val="24"/>
          <w:lang w:val="es-ES"/>
        </w:rPr>
        <w:t xml:space="preserve">, </w:t>
      </w:r>
      <w:r w:rsidR="001F76C7" w:rsidRPr="008E69E3">
        <w:rPr>
          <w:rFonts w:ascii="Bookman Old Style" w:hAnsi="Bookman Old Style" w:cs="Arial"/>
          <w:i/>
          <w:iCs/>
          <w:sz w:val="24"/>
          <w:szCs w:val="24"/>
          <w:lang w:val="es-ES"/>
        </w:rPr>
        <w:t>y luego el resultado se multiplicará por treinta (30), si la facturación es mensual o por</w:t>
      </w:r>
      <w:r w:rsidR="00E52846">
        <w:rPr>
          <w:rFonts w:ascii="Bookman Old Style" w:hAnsi="Bookman Old Style" w:cs="Arial"/>
          <w:i/>
          <w:iCs/>
          <w:sz w:val="24"/>
          <w:szCs w:val="24"/>
          <w:lang w:val="es-ES"/>
        </w:rPr>
        <w:t xml:space="preserve"> se</w:t>
      </w:r>
      <w:r w:rsidR="00514AD8">
        <w:rPr>
          <w:rFonts w:ascii="Bookman Old Style" w:hAnsi="Bookman Old Style" w:cs="Arial"/>
          <w:i/>
          <w:iCs/>
          <w:sz w:val="24"/>
          <w:szCs w:val="24"/>
          <w:lang w:val="es-ES"/>
        </w:rPr>
        <w:t>senta</w:t>
      </w:r>
      <w:r w:rsidR="001F76C7" w:rsidRPr="008E69E3">
        <w:rPr>
          <w:rFonts w:ascii="Bookman Old Style" w:hAnsi="Bookman Old Style" w:cs="Arial"/>
          <w:i/>
          <w:iCs/>
          <w:sz w:val="24"/>
          <w:szCs w:val="24"/>
          <w:lang w:val="es-ES"/>
        </w:rPr>
        <w:t xml:space="preserve"> </w:t>
      </w:r>
      <w:r w:rsidR="00A73FA0">
        <w:rPr>
          <w:rFonts w:ascii="Bookman Old Style" w:hAnsi="Bookman Old Style" w:cs="Arial"/>
          <w:i/>
          <w:iCs/>
          <w:sz w:val="24"/>
          <w:szCs w:val="24"/>
          <w:lang w:val="es-ES"/>
        </w:rPr>
        <w:t>(</w:t>
      </w:r>
      <w:r w:rsidR="001F76C7" w:rsidRPr="008E69E3">
        <w:rPr>
          <w:rFonts w:ascii="Bookman Old Style" w:hAnsi="Bookman Old Style" w:cs="Arial"/>
          <w:i/>
          <w:iCs/>
          <w:sz w:val="24"/>
          <w:szCs w:val="24"/>
          <w:lang w:val="es-ES"/>
        </w:rPr>
        <w:t>60</w:t>
      </w:r>
      <w:r w:rsidR="00B44FA5">
        <w:rPr>
          <w:rFonts w:ascii="Bookman Old Style" w:hAnsi="Bookman Old Style" w:cs="Arial"/>
          <w:i/>
          <w:iCs/>
          <w:sz w:val="24"/>
          <w:szCs w:val="24"/>
          <w:lang w:val="es-ES"/>
        </w:rPr>
        <w:t>)</w:t>
      </w:r>
      <w:r w:rsidR="001F76C7" w:rsidRPr="008E69E3">
        <w:rPr>
          <w:rFonts w:ascii="Bookman Old Style" w:hAnsi="Bookman Old Style" w:cs="Arial"/>
          <w:i/>
          <w:iCs/>
          <w:sz w:val="24"/>
          <w:szCs w:val="24"/>
          <w:lang w:val="es-ES"/>
        </w:rPr>
        <w:t xml:space="preserve"> si la facturación es </w:t>
      </w:r>
      <w:r w:rsidR="007E0E3A" w:rsidRPr="008E69E3">
        <w:rPr>
          <w:rFonts w:ascii="Bookman Old Style" w:hAnsi="Bookman Old Style" w:cs="Arial"/>
          <w:i/>
          <w:iCs/>
          <w:sz w:val="24"/>
          <w:szCs w:val="24"/>
          <w:lang w:val="es-ES"/>
        </w:rPr>
        <w:t>bime</w:t>
      </w:r>
      <w:r w:rsidR="007E0E3A">
        <w:rPr>
          <w:rFonts w:ascii="Bookman Old Style" w:hAnsi="Bookman Old Style" w:cs="Arial"/>
          <w:i/>
          <w:iCs/>
          <w:sz w:val="24"/>
          <w:szCs w:val="24"/>
          <w:lang w:val="es-ES"/>
        </w:rPr>
        <w:t>stral</w:t>
      </w:r>
      <w:r w:rsidR="00114B15">
        <w:rPr>
          <w:rFonts w:ascii="Bookman Old Style" w:hAnsi="Bookman Old Style" w:cs="Arial"/>
          <w:i/>
          <w:iCs/>
          <w:sz w:val="24"/>
          <w:szCs w:val="24"/>
          <w:lang w:val="es-ES"/>
        </w:rPr>
        <w:t xml:space="preserve"> o por </w:t>
      </w:r>
      <w:r w:rsidR="003C2405">
        <w:rPr>
          <w:rFonts w:ascii="Bookman Old Style" w:hAnsi="Bookman Old Style" w:cs="Arial"/>
          <w:i/>
          <w:iCs/>
          <w:sz w:val="24"/>
          <w:szCs w:val="24"/>
          <w:lang w:val="es-ES"/>
        </w:rPr>
        <w:t xml:space="preserve">noventa </w:t>
      </w:r>
      <w:r w:rsidR="00114B15">
        <w:rPr>
          <w:rFonts w:ascii="Bookman Old Style" w:hAnsi="Bookman Old Style" w:cs="Arial"/>
          <w:i/>
          <w:iCs/>
          <w:sz w:val="24"/>
          <w:szCs w:val="24"/>
          <w:lang w:val="es-ES"/>
        </w:rPr>
        <w:t>(90)</w:t>
      </w:r>
      <w:r w:rsidR="00873CC7">
        <w:rPr>
          <w:rFonts w:ascii="Bookman Old Style" w:hAnsi="Bookman Old Style" w:cs="Arial"/>
          <w:i/>
          <w:iCs/>
          <w:sz w:val="24"/>
          <w:szCs w:val="24"/>
          <w:lang w:val="es-ES"/>
        </w:rPr>
        <w:t xml:space="preserve"> </w:t>
      </w:r>
      <w:r w:rsidR="00114B15">
        <w:rPr>
          <w:rFonts w:ascii="Bookman Old Style" w:hAnsi="Bookman Old Style" w:cs="Arial"/>
          <w:i/>
          <w:iCs/>
          <w:sz w:val="24"/>
          <w:szCs w:val="24"/>
          <w:lang w:val="es-ES"/>
        </w:rPr>
        <w:t>si la factura es trimestral</w:t>
      </w:r>
      <w:r w:rsidR="001F76C7" w:rsidRPr="008E69E3">
        <w:rPr>
          <w:rFonts w:ascii="Bookman Old Style" w:hAnsi="Bookman Old Style" w:cs="Arial"/>
          <w:i/>
          <w:iCs/>
          <w:sz w:val="24"/>
          <w:szCs w:val="24"/>
          <w:lang w:val="es-ES"/>
        </w:rPr>
        <w:t>.</w:t>
      </w:r>
    </w:p>
    <w:p w14:paraId="6C6F84FF" w14:textId="161379ED" w:rsidR="008E69E3" w:rsidRPr="003B66A0" w:rsidRDefault="001F76C7" w:rsidP="000C7437">
      <w:pPr>
        <w:pStyle w:val="Prrafodelista"/>
        <w:numPr>
          <w:ilvl w:val="0"/>
          <w:numId w:val="23"/>
        </w:numPr>
        <w:tabs>
          <w:tab w:val="left" w:pos="1701"/>
        </w:tabs>
        <w:spacing w:before="120" w:after="120"/>
        <w:ind w:left="993"/>
        <w:jc w:val="both"/>
        <w:rPr>
          <w:rFonts w:ascii="Bookman Old Style" w:hAnsi="Bookman Old Style" w:cs="Arial"/>
          <w:i/>
          <w:iCs/>
          <w:sz w:val="24"/>
          <w:szCs w:val="24"/>
          <w:lang w:val="es-ES"/>
        </w:rPr>
      </w:pPr>
      <w:r w:rsidRPr="008E69E3">
        <w:rPr>
          <w:rFonts w:ascii="Bookman Old Style" w:hAnsi="Bookman Old Style" w:cs="Arial"/>
          <w:i/>
          <w:iCs/>
          <w:sz w:val="24"/>
          <w:szCs w:val="24"/>
          <w:lang w:val="es-ES"/>
        </w:rPr>
        <w:t xml:space="preserve">Con los valores obtenidos en el numeral anterior, se calculará el promedio simple del consumo del usuario, el cual </w:t>
      </w:r>
      <w:r w:rsidR="003C2405">
        <w:rPr>
          <w:rFonts w:ascii="Bookman Old Style" w:hAnsi="Bookman Old Style" w:cs="Arial"/>
          <w:i/>
          <w:iCs/>
          <w:sz w:val="24"/>
          <w:szCs w:val="24"/>
          <w:lang w:val="es-ES"/>
        </w:rPr>
        <w:t>se tomará como el</w:t>
      </w:r>
      <w:r w:rsidRPr="008E69E3">
        <w:rPr>
          <w:rFonts w:ascii="Bookman Old Style" w:hAnsi="Bookman Old Style" w:cs="Arial"/>
          <w:i/>
          <w:iCs/>
          <w:sz w:val="24"/>
          <w:szCs w:val="24"/>
          <w:lang w:val="es-ES"/>
        </w:rPr>
        <w:t xml:space="preserve"> consumo promedio histórico </w:t>
      </w:r>
      <w:r w:rsidR="00C96D17">
        <w:rPr>
          <w:rFonts w:ascii="Bookman Old Style" w:hAnsi="Bookman Old Style" w:cs="Arial"/>
          <w:i/>
          <w:iCs/>
          <w:sz w:val="24"/>
          <w:szCs w:val="24"/>
          <w:lang w:val="es-ES"/>
        </w:rPr>
        <w:t>para desviación significativa</w:t>
      </w:r>
      <w:r w:rsidR="00C96D17" w:rsidRPr="008E69E3">
        <w:rPr>
          <w:rFonts w:ascii="Bookman Old Style" w:hAnsi="Bookman Old Style" w:cs="Arial"/>
          <w:i/>
          <w:iCs/>
          <w:sz w:val="24"/>
          <w:szCs w:val="24"/>
          <w:lang w:val="es-ES"/>
        </w:rPr>
        <w:t xml:space="preserve"> </w:t>
      </w:r>
      <w:r w:rsidRPr="008E69E3">
        <w:rPr>
          <w:rFonts w:ascii="Bookman Old Style" w:hAnsi="Bookman Old Style" w:cs="Arial"/>
          <w:i/>
          <w:iCs/>
          <w:sz w:val="24"/>
          <w:szCs w:val="24"/>
          <w:lang w:val="es-ES"/>
        </w:rPr>
        <w:t>del periodo de facturación</w:t>
      </w:r>
      <w:r w:rsidR="005A6FE4">
        <w:rPr>
          <w:rFonts w:ascii="Bookman Old Style" w:hAnsi="Bookman Old Style" w:cs="Arial"/>
          <w:i/>
          <w:iCs/>
          <w:sz w:val="24"/>
          <w:szCs w:val="24"/>
          <w:lang w:val="es-ES"/>
        </w:rPr>
        <w:t xml:space="preserve">, </w:t>
      </w:r>
      <w:r w:rsidR="00863777">
        <w:rPr>
          <w:rFonts w:ascii="Bookman Old Style" w:hAnsi="Bookman Old Style" w:cs="Arial"/>
          <w:i/>
          <w:iCs/>
          <w:sz w:val="24"/>
          <w:szCs w:val="24"/>
          <w:lang w:val="es-ES"/>
        </w:rPr>
        <w:t xml:space="preserve">el cual es diferente al consumo promedio definido en el artículo 1 </w:t>
      </w:r>
      <w:r w:rsidR="00863777" w:rsidRPr="00684095">
        <w:rPr>
          <w:rFonts w:ascii="Bookman Old Style" w:hAnsi="Bookman Old Style" w:cs="Arial"/>
          <w:i/>
          <w:iCs/>
          <w:sz w:val="24"/>
          <w:szCs w:val="24"/>
          <w:lang w:val="es-ES"/>
        </w:rPr>
        <w:t xml:space="preserve">de </w:t>
      </w:r>
      <w:r w:rsidR="00684095" w:rsidRPr="0022607B">
        <w:rPr>
          <w:rFonts w:ascii="Bookman Old Style" w:hAnsi="Bookman Old Style"/>
          <w:i/>
          <w:iCs/>
          <w:sz w:val="24"/>
          <w:szCs w:val="24"/>
          <w:shd w:val="clear" w:color="auto" w:fill="FFFFFF"/>
        </w:rPr>
        <w:t>la Resolución CREG 108 de 1997</w:t>
      </w:r>
      <w:r w:rsidR="003B66A0" w:rsidRPr="0022607B">
        <w:rPr>
          <w:rFonts w:ascii="Bookman Old Style" w:hAnsi="Bookman Old Style"/>
          <w:i/>
          <w:iCs/>
          <w:sz w:val="24"/>
          <w:szCs w:val="24"/>
          <w:shd w:val="clear" w:color="auto" w:fill="FFFFFF"/>
        </w:rPr>
        <w:t xml:space="preserve"> o aquella que la modifique, adiciona o sustituya</w:t>
      </w:r>
      <w:r w:rsidR="007B4D7A">
        <w:rPr>
          <w:rFonts w:ascii="Bookman Old Style" w:hAnsi="Bookman Old Style"/>
          <w:i/>
          <w:iCs/>
          <w:sz w:val="24"/>
          <w:szCs w:val="24"/>
          <w:shd w:val="clear" w:color="auto" w:fill="FFFFFF"/>
        </w:rPr>
        <w:t>.</w:t>
      </w:r>
    </w:p>
    <w:p w14:paraId="7C53EE8A" w14:textId="6A8EEEEA" w:rsidR="00452C18" w:rsidRPr="000C7437" w:rsidRDefault="001F76C7" w:rsidP="000C7437">
      <w:pPr>
        <w:pStyle w:val="Prrafodelista"/>
        <w:numPr>
          <w:ilvl w:val="0"/>
          <w:numId w:val="23"/>
        </w:numPr>
        <w:tabs>
          <w:tab w:val="left" w:pos="1701"/>
        </w:tabs>
        <w:spacing w:before="120"/>
        <w:ind w:left="993"/>
        <w:jc w:val="both"/>
        <w:rPr>
          <w:rFonts w:ascii="Bookman Old Style" w:hAnsi="Bookman Old Style" w:cs="Arial"/>
          <w:i/>
          <w:iCs/>
          <w:sz w:val="24"/>
          <w:szCs w:val="24"/>
          <w:lang w:val="es-ES"/>
        </w:rPr>
      </w:pPr>
      <w:r w:rsidRPr="008E69E3">
        <w:rPr>
          <w:rFonts w:ascii="Bookman Old Style" w:hAnsi="Bookman Old Style" w:cs="Arial"/>
          <w:i/>
          <w:iCs/>
          <w:sz w:val="24"/>
          <w:szCs w:val="24"/>
          <w:lang w:val="es-ES"/>
        </w:rPr>
        <w:t xml:space="preserve">A partir de los valores </w:t>
      </w:r>
      <w:r w:rsidR="00452C18" w:rsidRPr="00452C18">
        <w:rPr>
          <w:rFonts w:ascii="Bookman Old Style" w:hAnsi="Bookman Old Style" w:cs="Arial"/>
          <w:i/>
          <w:iCs/>
          <w:sz w:val="24"/>
          <w:szCs w:val="24"/>
          <w:lang w:val="es-ES"/>
        </w:rPr>
        <w:t>obtenidos de</w:t>
      </w:r>
      <w:r w:rsidR="003C2405">
        <w:rPr>
          <w:rFonts w:ascii="Bookman Old Style" w:hAnsi="Bookman Old Style" w:cs="Arial"/>
          <w:i/>
          <w:iCs/>
          <w:sz w:val="24"/>
          <w:szCs w:val="24"/>
          <w:lang w:val="es-ES"/>
        </w:rPr>
        <w:t xml:space="preserve"> </w:t>
      </w:r>
      <w:r w:rsidR="00452C18" w:rsidRPr="00452C18">
        <w:rPr>
          <w:rFonts w:ascii="Bookman Old Style" w:hAnsi="Bookman Old Style" w:cs="Arial"/>
          <w:i/>
          <w:iCs/>
          <w:sz w:val="24"/>
          <w:szCs w:val="24"/>
          <w:lang w:val="es-ES"/>
        </w:rPr>
        <w:t>l</w:t>
      </w:r>
      <w:r w:rsidR="003C2405">
        <w:rPr>
          <w:rFonts w:ascii="Bookman Old Style" w:hAnsi="Bookman Old Style" w:cs="Arial"/>
          <w:i/>
          <w:iCs/>
          <w:sz w:val="24"/>
          <w:szCs w:val="24"/>
          <w:lang w:val="es-ES"/>
        </w:rPr>
        <w:t>os</w:t>
      </w:r>
      <w:r w:rsidR="00452C18" w:rsidRPr="00452C18">
        <w:rPr>
          <w:rFonts w:ascii="Bookman Old Style" w:hAnsi="Bookman Old Style" w:cs="Arial"/>
          <w:i/>
          <w:iCs/>
          <w:sz w:val="24"/>
          <w:szCs w:val="24"/>
          <w:lang w:val="es-ES"/>
        </w:rPr>
        <w:t xml:space="preserve"> numeral</w:t>
      </w:r>
      <w:r w:rsidR="003C2405">
        <w:rPr>
          <w:rFonts w:ascii="Bookman Old Style" w:hAnsi="Bookman Old Style" w:cs="Arial"/>
          <w:i/>
          <w:iCs/>
          <w:sz w:val="24"/>
          <w:szCs w:val="24"/>
          <w:lang w:val="es-ES"/>
        </w:rPr>
        <w:t>es</w:t>
      </w:r>
      <w:r w:rsidR="00452C18" w:rsidRPr="00452C18">
        <w:rPr>
          <w:rFonts w:ascii="Bookman Old Style" w:hAnsi="Bookman Old Style" w:cs="Arial"/>
          <w:i/>
          <w:iCs/>
          <w:sz w:val="24"/>
          <w:szCs w:val="24"/>
          <w:lang w:val="es-ES"/>
        </w:rPr>
        <w:t xml:space="preserve"> dos</w:t>
      </w:r>
      <w:r w:rsidR="002B2681">
        <w:rPr>
          <w:rFonts w:ascii="Bookman Old Style" w:hAnsi="Bookman Old Style" w:cs="Arial"/>
          <w:i/>
          <w:iCs/>
          <w:sz w:val="24"/>
          <w:szCs w:val="24"/>
          <w:lang w:val="es-ES"/>
        </w:rPr>
        <w:t xml:space="preserve"> y tres</w:t>
      </w:r>
      <w:r w:rsidR="003C2405">
        <w:rPr>
          <w:rFonts w:ascii="Bookman Old Style" w:hAnsi="Bookman Old Style" w:cs="Arial"/>
          <w:i/>
          <w:iCs/>
          <w:sz w:val="24"/>
          <w:szCs w:val="24"/>
          <w:lang w:val="es-ES"/>
        </w:rPr>
        <w:t xml:space="preserve"> anteriores</w:t>
      </w:r>
      <w:r w:rsidR="00452C18" w:rsidRPr="00452C18">
        <w:rPr>
          <w:rFonts w:ascii="Bookman Old Style" w:hAnsi="Bookman Old Style" w:cs="Arial"/>
          <w:i/>
          <w:iCs/>
          <w:sz w:val="24"/>
          <w:szCs w:val="24"/>
          <w:lang w:val="es-ES"/>
        </w:rPr>
        <w:t>, se calculará la desviación estándar poblacional, la cual se determina conforme a lo siguiente</w:t>
      </w:r>
      <w:r w:rsidR="00452C18" w:rsidRPr="000C7437">
        <w:rPr>
          <w:rFonts w:ascii="Bookman Old Style" w:hAnsi="Bookman Old Style" w:cs="Arial"/>
          <w:i/>
          <w:iCs/>
          <w:sz w:val="24"/>
          <w:szCs w:val="24"/>
          <w:lang w:val="es-ES"/>
        </w:rPr>
        <w:t>:</w:t>
      </w:r>
    </w:p>
    <w:p w14:paraId="3AF321F0" w14:textId="6D00E84B" w:rsidR="00452C18" w:rsidRPr="00452C18" w:rsidRDefault="0064054B" w:rsidP="00953F10">
      <w:pPr>
        <w:pStyle w:val="Prrafodelista"/>
        <w:numPr>
          <w:ilvl w:val="0"/>
          <w:numId w:val="25"/>
        </w:numPr>
        <w:shd w:val="clear" w:color="auto" w:fill="FFFFFF"/>
        <w:spacing w:before="120"/>
        <w:ind w:left="1418" w:hanging="357"/>
        <w:rPr>
          <w:rStyle w:val="contentpasted0"/>
          <w:rFonts w:ascii="Bookman Old Style" w:hAnsi="Bookman Old Style"/>
          <w:i/>
          <w:iCs/>
          <w:color w:val="000000" w:themeColor="text1"/>
          <w:sz w:val="24"/>
          <w:szCs w:val="24"/>
          <w:lang w:val="es-ES"/>
        </w:rPr>
      </w:pPr>
      <w:r>
        <w:rPr>
          <w:rStyle w:val="contentpasted0"/>
          <w:rFonts w:ascii="Bookman Old Style" w:hAnsi="Bookman Old Style"/>
          <w:i/>
          <w:iCs/>
          <w:color w:val="000000" w:themeColor="text1"/>
          <w:sz w:val="24"/>
          <w:szCs w:val="24"/>
          <w:lang w:val="es-ES"/>
        </w:rPr>
        <w:t xml:space="preserve">Se </w:t>
      </w:r>
      <w:r w:rsidR="00FC07D5">
        <w:rPr>
          <w:rStyle w:val="contentpasted0"/>
          <w:rFonts w:ascii="Bookman Old Style" w:hAnsi="Bookman Old Style"/>
          <w:i/>
          <w:iCs/>
          <w:color w:val="000000" w:themeColor="text1"/>
          <w:sz w:val="24"/>
          <w:szCs w:val="24"/>
          <w:lang w:val="es-ES"/>
        </w:rPr>
        <w:t>calcula</w:t>
      </w:r>
      <w:r w:rsidR="00452C18" w:rsidRPr="00452C18">
        <w:rPr>
          <w:rStyle w:val="contentpasted0"/>
          <w:rFonts w:ascii="Bookman Old Style" w:hAnsi="Bookman Old Style"/>
          <w:i/>
          <w:iCs/>
          <w:color w:val="000000" w:themeColor="text1"/>
          <w:sz w:val="24"/>
          <w:szCs w:val="24"/>
          <w:lang w:val="es-ES"/>
        </w:rPr>
        <w:t xml:space="preserve"> para cada periodo </w:t>
      </w:r>
      <w:r w:rsidR="002B2681">
        <w:rPr>
          <w:rStyle w:val="contentpasted0"/>
          <w:rFonts w:ascii="Bookman Old Style" w:hAnsi="Bookman Old Style"/>
          <w:i/>
          <w:iCs/>
          <w:color w:val="000000" w:themeColor="text1"/>
          <w:sz w:val="24"/>
          <w:szCs w:val="24"/>
          <w:lang w:val="es-ES"/>
        </w:rPr>
        <w:t xml:space="preserve">histórico de facturación, </w:t>
      </w:r>
      <w:r w:rsidR="00452C18" w:rsidRPr="00452C18">
        <w:rPr>
          <w:rStyle w:val="contentpasted0"/>
          <w:rFonts w:ascii="Bookman Old Style" w:hAnsi="Bookman Old Style"/>
          <w:i/>
          <w:iCs/>
          <w:color w:val="000000" w:themeColor="text1"/>
          <w:sz w:val="24"/>
          <w:szCs w:val="24"/>
          <w:lang w:val="es-ES"/>
        </w:rPr>
        <w:t xml:space="preserve">el cuadrado de la diferencia de cada consumo normalizado, obtenido en el numeral </w:t>
      </w:r>
      <w:r w:rsidR="00EE416E">
        <w:rPr>
          <w:rStyle w:val="contentpasted0"/>
          <w:rFonts w:ascii="Bookman Old Style" w:hAnsi="Bookman Old Style"/>
          <w:i/>
          <w:iCs/>
          <w:color w:val="000000" w:themeColor="text1"/>
          <w:sz w:val="24"/>
          <w:szCs w:val="24"/>
          <w:lang w:val="es-ES"/>
        </w:rPr>
        <w:t>2</w:t>
      </w:r>
      <w:r w:rsidR="00452C18" w:rsidRPr="00452C18">
        <w:rPr>
          <w:rStyle w:val="contentpasted0"/>
          <w:rFonts w:ascii="Bookman Old Style" w:hAnsi="Bookman Old Style"/>
          <w:i/>
          <w:iCs/>
          <w:color w:val="000000" w:themeColor="text1"/>
          <w:sz w:val="24"/>
          <w:szCs w:val="24"/>
          <w:lang w:val="es-ES"/>
        </w:rPr>
        <w:t xml:space="preserve">, con respecto al </w:t>
      </w:r>
      <w:r w:rsidR="003C2405" w:rsidRPr="008E69E3">
        <w:rPr>
          <w:rFonts w:ascii="Bookman Old Style" w:hAnsi="Bookman Old Style" w:cs="Arial"/>
          <w:i/>
          <w:iCs/>
          <w:sz w:val="24"/>
          <w:szCs w:val="24"/>
          <w:lang w:val="es-ES"/>
        </w:rPr>
        <w:t xml:space="preserve">consumo promedio histórico </w:t>
      </w:r>
      <w:r w:rsidR="003C2405">
        <w:rPr>
          <w:rFonts w:ascii="Bookman Old Style" w:hAnsi="Bookman Old Style" w:cs="Arial"/>
          <w:i/>
          <w:iCs/>
          <w:sz w:val="24"/>
          <w:szCs w:val="24"/>
          <w:lang w:val="es-ES"/>
        </w:rPr>
        <w:t>para desviación significativa</w:t>
      </w:r>
      <w:r w:rsidR="003C2405" w:rsidRPr="00452C18" w:rsidDel="003C2405">
        <w:rPr>
          <w:rStyle w:val="contentpasted0"/>
          <w:rFonts w:ascii="Bookman Old Style" w:hAnsi="Bookman Old Style"/>
          <w:i/>
          <w:iCs/>
          <w:color w:val="000000" w:themeColor="text1"/>
          <w:sz w:val="24"/>
          <w:szCs w:val="24"/>
          <w:lang w:val="es-ES"/>
        </w:rPr>
        <w:t xml:space="preserve"> </w:t>
      </w:r>
      <w:r w:rsidR="00452C18" w:rsidRPr="00452C18">
        <w:rPr>
          <w:rStyle w:val="contentpasted0"/>
          <w:rFonts w:ascii="Bookman Old Style" w:hAnsi="Bookman Old Style"/>
          <w:i/>
          <w:iCs/>
          <w:color w:val="000000" w:themeColor="text1"/>
          <w:sz w:val="24"/>
          <w:szCs w:val="24"/>
          <w:lang w:val="es-ES"/>
        </w:rPr>
        <w:t>resultante de la aplicación del numeral 3.</w:t>
      </w:r>
    </w:p>
    <w:p w14:paraId="1C69CD21" w14:textId="28D7FBD5" w:rsidR="00452C18" w:rsidRPr="00452C18" w:rsidRDefault="0064054B" w:rsidP="00953F10">
      <w:pPr>
        <w:pStyle w:val="Prrafodelista"/>
        <w:numPr>
          <w:ilvl w:val="0"/>
          <w:numId w:val="25"/>
        </w:numPr>
        <w:shd w:val="clear" w:color="auto" w:fill="FFFFFF"/>
        <w:spacing w:before="120"/>
        <w:ind w:left="1418" w:hanging="357"/>
        <w:rPr>
          <w:rStyle w:val="contentpasted0"/>
          <w:rFonts w:ascii="Bookman Old Style" w:hAnsi="Bookman Old Style"/>
          <w:i/>
          <w:iCs/>
          <w:color w:val="000000" w:themeColor="text1"/>
          <w:sz w:val="24"/>
          <w:szCs w:val="24"/>
          <w:lang w:val="es-ES"/>
        </w:rPr>
      </w:pPr>
      <w:r>
        <w:rPr>
          <w:rStyle w:val="contentpasted0"/>
          <w:rFonts w:ascii="Bookman Old Style" w:hAnsi="Bookman Old Style"/>
          <w:i/>
          <w:iCs/>
          <w:color w:val="000000" w:themeColor="text1"/>
          <w:sz w:val="24"/>
          <w:szCs w:val="24"/>
          <w:lang w:val="es-ES"/>
        </w:rPr>
        <w:t>Se r</w:t>
      </w:r>
      <w:r w:rsidR="00452C18" w:rsidRPr="00452C18">
        <w:rPr>
          <w:rStyle w:val="contentpasted0"/>
          <w:rFonts w:ascii="Bookman Old Style" w:hAnsi="Bookman Old Style"/>
          <w:i/>
          <w:iCs/>
          <w:color w:val="000000" w:themeColor="text1"/>
          <w:sz w:val="24"/>
          <w:szCs w:val="24"/>
          <w:lang w:val="es-ES"/>
        </w:rPr>
        <w:t xml:space="preserve">ealiza la sumatoria de los valores resultantes en el </w:t>
      </w:r>
      <w:r w:rsidR="004848E9">
        <w:rPr>
          <w:rStyle w:val="contentpasted0"/>
          <w:rFonts w:ascii="Bookman Old Style" w:hAnsi="Bookman Old Style"/>
          <w:i/>
          <w:iCs/>
          <w:color w:val="000000" w:themeColor="text1"/>
          <w:sz w:val="24"/>
          <w:szCs w:val="24"/>
          <w:lang w:val="es-ES"/>
        </w:rPr>
        <w:t>literal</w:t>
      </w:r>
      <w:r w:rsidR="004848E9" w:rsidRPr="00452C18">
        <w:rPr>
          <w:rStyle w:val="contentpasted0"/>
          <w:rFonts w:ascii="Bookman Old Style" w:hAnsi="Bookman Old Style"/>
          <w:i/>
          <w:iCs/>
          <w:color w:val="000000" w:themeColor="text1"/>
          <w:sz w:val="24"/>
          <w:szCs w:val="24"/>
          <w:lang w:val="es-ES"/>
        </w:rPr>
        <w:t xml:space="preserve"> </w:t>
      </w:r>
      <w:r w:rsidR="00452C18" w:rsidRPr="00452C18">
        <w:rPr>
          <w:rStyle w:val="contentpasted0"/>
          <w:rFonts w:ascii="Bookman Old Style" w:hAnsi="Bookman Old Style"/>
          <w:i/>
          <w:iCs/>
          <w:color w:val="000000" w:themeColor="text1"/>
          <w:sz w:val="24"/>
          <w:szCs w:val="24"/>
          <w:lang w:val="es-ES"/>
        </w:rPr>
        <w:t>a). </w:t>
      </w:r>
    </w:p>
    <w:p w14:paraId="21EF35C5" w14:textId="33FFE49D" w:rsidR="00452C18" w:rsidRPr="00452C18" w:rsidRDefault="00452C18" w:rsidP="4B654CCB">
      <w:pPr>
        <w:pStyle w:val="Prrafodelista"/>
        <w:numPr>
          <w:ilvl w:val="0"/>
          <w:numId w:val="25"/>
        </w:numPr>
        <w:shd w:val="clear" w:color="auto" w:fill="FFFFFF" w:themeFill="background1"/>
        <w:spacing w:before="120"/>
        <w:ind w:left="1418" w:hanging="357"/>
        <w:rPr>
          <w:rStyle w:val="contentpasted0"/>
          <w:rFonts w:ascii="Bookman Old Style" w:hAnsi="Bookman Old Style"/>
          <w:i/>
          <w:iCs/>
          <w:color w:val="000000" w:themeColor="text1"/>
          <w:sz w:val="24"/>
          <w:szCs w:val="24"/>
          <w:lang w:val="es-ES"/>
        </w:rPr>
      </w:pPr>
      <w:r w:rsidRPr="00452C18">
        <w:rPr>
          <w:rStyle w:val="contentpasted0"/>
          <w:rFonts w:ascii="Bookman Old Style" w:hAnsi="Bookman Old Style"/>
          <w:i/>
          <w:iCs/>
          <w:color w:val="000000" w:themeColor="text1"/>
          <w:sz w:val="24"/>
          <w:szCs w:val="24"/>
          <w:lang w:val="es-ES"/>
        </w:rPr>
        <w:t xml:space="preserve">El resultado </w:t>
      </w:r>
      <w:r w:rsidR="004848E9">
        <w:rPr>
          <w:rStyle w:val="contentpasted0"/>
          <w:rFonts w:ascii="Bookman Old Style" w:hAnsi="Bookman Old Style"/>
          <w:i/>
          <w:iCs/>
          <w:color w:val="000000" w:themeColor="text1"/>
          <w:sz w:val="24"/>
          <w:szCs w:val="24"/>
          <w:lang w:val="es-ES"/>
        </w:rPr>
        <w:t xml:space="preserve">del literal b) </w:t>
      </w:r>
      <w:r w:rsidR="00B0718C">
        <w:rPr>
          <w:rStyle w:val="contentpasted0"/>
          <w:rFonts w:ascii="Bookman Old Style" w:hAnsi="Bookman Old Style"/>
          <w:i/>
          <w:iCs/>
          <w:color w:val="000000" w:themeColor="text1"/>
          <w:sz w:val="24"/>
          <w:szCs w:val="24"/>
          <w:lang w:val="es-ES"/>
        </w:rPr>
        <w:t>se divide</w:t>
      </w:r>
      <w:r w:rsidRPr="00452C18">
        <w:rPr>
          <w:rStyle w:val="contentpasted0"/>
          <w:rFonts w:ascii="Bookman Old Style" w:hAnsi="Bookman Old Style"/>
          <w:i/>
          <w:iCs/>
          <w:color w:val="000000" w:themeColor="text1"/>
          <w:sz w:val="24"/>
          <w:szCs w:val="24"/>
          <w:lang w:val="es-ES"/>
        </w:rPr>
        <w:t xml:space="preserve"> entre el número total de datos analizados (12</w:t>
      </w:r>
      <w:r w:rsidR="00C02C5C">
        <w:rPr>
          <w:rStyle w:val="contentpasted0"/>
          <w:rFonts w:ascii="Bookman Old Style" w:hAnsi="Bookman Old Style"/>
          <w:i/>
          <w:iCs/>
          <w:color w:val="000000" w:themeColor="text1"/>
          <w:sz w:val="24"/>
          <w:szCs w:val="24"/>
          <w:lang w:val="es-ES"/>
        </w:rPr>
        <w:t>, 6</w:t>
      </w:r>
      <w:r w:rsidRPr="00452C18">
        <w:rPr>
          <w:rStyle w:val="contentpasted0"/>
          <w:rFonts w:ascii="Bookman Old Style" w:hAnsi="Bookman Old Style"/>
          <w:i/>
          <w:iCs/>
          <w:color w:val="000000" w:themeColor="text1"/>
          <w:sz w:val="24"/>
          <w:szCs w:val="24"/>
          <w:lang w:val="es-ES"/>
        </w:rPr>
        <w:t xml:space="preserve"> </w:t>
      </w:r>
      <w:proofErr w:type="spellStart"/>
      <w:r w:rsidRPr="00452C18">
        <w:rPr>
          <w:rStyle w:val="contentpasted0"/>
          <w:rFonts w:ascii="Bookman Old Style" w:hAnsi="Bookman Old Style"/>
          <w:i/>
          <w:iCs/>
          <w:color w:val="000000" w:themeColor="text1"/>
          <w:sz w:val="24"/>
          <w:szCs w:val="24"/>
          <w:lang w:val="es-ES"/>
        </w:rPr>
        <w:t>ó</w:t>
      </w:r>
      <w:proofErr w:type="spellEnd"/>
      <w:r w:rsidRPr="00452C18">
        <w:rPr>
          <w:rStyle w:val="contentpasted0"/>
          <w:rFonts w:ascii="Bookman Old Style" w:hAnsi="Bookman Old Style"/>
          <w:i/>
          <w:iCs/>
          <w:color w:val="000000" w:themeColor="text1"/>
          <w:sz w:val="24"/>
          <w:szCs w:val="24"/>
          <w:lang w:val="es-ES"/>
        </w:rPr>
        <w:t xml:space="preserve"> </w:t>
      </w:r>
      <w:r w:rsidR="00C02C5C">
        <w:rPr>
          <w:rStyle w:val="contentpasted0"/>
          <w:rFonts w:ascii="Bookman Old Style" w:hAnsi="Bookman Old Style"/>
          <w:i/>
          <w:iCs/>
          <w:color w:val="000000" w:themeColor="text1"/>
          <w:sz w:val="24"/>
          <w:szCs w:val="24"/>
          <w:lang w:val="es-ES"/>
        </w:rPr>
        <w:t>4</w:t>
      </w:r>
      <w:r w:rsidR="00C02C5C" w:rsidRPr="00452C18">
        <w:rPr>
          <w:rStyle w:val="contentpasted0"/>
          <w:rFonts w:ascii="Bookman Old Style" w:hAnsi="Bookman Old Style"/>
          <w:i/>
          <w:iCs/>
          <w:color w:val="000000" w:themeColor="text1"/>
          <w:sz w:val="24"/>
          <w:szCs w:val="24"/>
          <w:lang w:val="es-ES"/>
        </w:rPr>
        <w:t xml:space="preserve"> </w:t>
      </w:r>
      <w:r w:rsidRPr="00452C18">
        <w:rPr>
          <w:rStyle w:val="contentpasted0"/>
          <w:rFonts w:ascii="Bookman Old Style" w:hAnsi="Bookman Old Style"/>
          <w:i/>
          <w:iCs/>
          <w:color w:val="000000" w:themeColor="text1"/>
          <w:sz w:val="24"/>
          <w:szCs w:val="24"/>
          <w:lang w:val="es-ES"/>
        </w:rPr>
        <w:t>según corresponda). </w:t>
      </w:r>
    </w:p>
    <w:p w14:paraId="70EE84AE" w14:textId="2B5484CA" w:rsidR="00452C18" w:rsidRPr="00452C18" w:rsidRDefault="00452C18" w:rsidP="00953F10">
      <w:pPr>
        <w:pStyle w:val="Prrafodelista"/>
        <w:numPr>
          <w:ilvl w:val="0"/>
          <w:numId w:val="25"/>
        </w:numPr>
        <w:shd w:val="clear" w:color="auto" w:fill="FFFFFF"/>
        <w:spacing w:before="120"/>
        <w:ind w:left="1418" w:hanging="357"/>
        <w:rPr>
          <w:rStyle w:val="contentpasted0"/>
          <w:rFonts w:ascii="Bookman Old Style" w:hAnsi="Bookman Old Style"/>
          <w:i/>
          <w:iCs/>
          <w:color w:val="000000" w:themeColor="text1"/>
          <w:sz w:val="24"/>
          <w:szCs w:val="24"/>
          <w:lang w:val="es-ES"/>
        </w:rPr>
      </w:pPr>
      <w:r w:rsidRPr="00452C18">
        <w:rPr>
          <w:rStyle w:val="contentpasted0"/>
          <w:rFonts w:ascii="Bookman Old Style" w:hAnsi="Bookman Old Style"/>
          <w:i/>
          <w:iCs/>
          <w:color w:val="000000" w:themeColor="text1"/>
          <w:sz w:val="24"/>
          <w:szCs w:val="24"/>
          <w:lang w:val="es-ES"/>
        </w:rPr>
        <w:t xml:space="preserve">La desviación estándar poblacional corresponderá al cálculo de la raíz cuadrada del valor obtenido </w:t>
      </w:r>
      <w:r w:rsidR="004848E9">
        <w:rPr>
          <w:rStyle w:val="contentpasted0"/>
          <w:rFonts w:ascii="Bookman Old Style" w:hAnsi="Bookman Old Style"/>
          <w:i/>
          <w:iCs/>
          <w:color w:val="000000" w:themeColor="text1"/>
          <w:sz w:val="24"/>
          <w:szCs w:val="24"/>
          <w:lang w:val="es-ES"/>
        </w:rPr>
        <w:t xml:space="preserve">en </w:t>
      </w:r>
      <w:r w:rsidR="004848E9" w:rsidRPr="00452C18">
        <w:rPr>
          <w:rStyle w:val="contentpasted0"/>
          <w:rFonts w:ascii="Bookman Old Style" w:hAnsi="Bookman Old Style"/>
          <w:i/>
          <w:iCs/>
          <w:color w:val="000000" w:themeColor="text1"/>
          <w:sz w:val="24"/>
          <w:szCs w:val="24"/>
          <w:lang w:val="es-ES"/>
        </w:rPr>
        <w:t xml:space="preserve">el </w:t>
      </w:r>
      <w:r w:rsidR="004848E9">
        <w:rPr>
          <w:rStyle w:val="contentpasted0"/>
          <w:rFonts w:ascii="Bookman Old Style" w:hAnsi="Bookman Old Style"/>
          <w:i/>
          <w:iCs/>
          <w:color w:val="000000" w:themeColor="text1"/>
          <w:sz w:val="24"/>
          <w:szCs w:val="24"/>
          <w:lang w:val="es-ES"/>
        </w:rPr>
        <w:t>lit</w:t>
      </w:r>
      <w:r w:rsidR="004848E9" w:rsidRPr="00452C18">
        <w:rPr>
          <w:rStyle w:val="contentpasted0"/>
          <w:rFonts w:ascii="Bookman Old Style" w:hAnsi="Bookman Old Style"/>
          <w:i/>
          <w:iCs/>
          <w:color w:val="000000" w:themeColor="text1"/>
          <w:sz w:val="24"/>
          <w:szCs w:val="24"/>
          <w:lang w:val="es-ES"/>
        </w:rPr>
        <w:t xml:space="preserve">eral </w:t>
      </w:r>
      <w:r w:rsidRPr="00452C18">
        <w:rPr>
          <w:rStyle w:val="contentpasted0"/>
          <w:rFonts w:ascii="Bookman Old Style" w:hAnsi="Bookman Old Style"/>
          <w:i/>
          <w:iCs/>
          <w:color w:val="000000" w:themeColor="text1"/>
          <w:sz w:val="24"/>
          <w:szCs w:val="24"/>
          <w:lang w:val="es-ES"/>
        </w:rPr>
        <w:t>c).</w:t>
      </w:r>
    </w:p>
    <w:p w14:paraId="6696F7DE" w14:textId="4D3C570D" w:rsidR="001F76C7" w:rsidRDefault="001F76C7" w:rsidP="00090016">
      <w:pPr>
        <w:pStyle w:val="Prrafodelista"/>
        <w:tabs>
          <w:tab w:val="left" w:pos="1701"/>
        </w:tabs>
        <w:spacing w:before="240" w:after="240"/>
        <w:ind w:left="851"/>
        <w:jc w:val="both"/>
        <w:rPr>
          <w:rFonts w:ascii="Bookman Old Style" w:hAnsi="Bookman Old Style" w:cs="Arial"/>
          <w:i/>
          <w:iCs/>
          <w:sz w:val="24"/>
          <w:szCs w:val="24"/>
          <w:lang w:val="es-ES"/>
        </w:rPr>
      </w:pPr>
      <w:r w:rsidRPr="008E69E3">
        <w:rPr>
          <w:rFonts w:ascii="Bookman Old Style" w:hAnsi="Bookman Old Style" w:cs="Arial"/>
          <w:i/>
          <w:iCs/>
          <w:sz w:val="24"/>
          <w:szCs w:val="24"/>
          <w:lang w:val="es-ES"/>
        </w:rPr>
        <w:lastRenderedPageBreak/>
        <w:t xml:space="preserve">El valor resultante corresponderá a la desviación estándar </w:t>
      </w:r>
      <w:r w:rsidR="00B0718C">
        <w:rPr>
          <w:rFonts w:ascii="Bookman Old Style" w:hAnsi="Bookman Old Style" w:cs="Arial"/>
          <w:i/>
          <w:iCs/>
          <w:sz w:val="24"/>
          <w:szCs w:val="24"/>
          <w:lang w:val="es-ES"/>
        </w:rPr>
        <w:t>para el</w:t>
      </w:r>
      <w:r w:rsidR="00B0718C" w:rsidRPr="008E69E3">
        <w:rPr>
          <w:rFonts w:ascii="Bookman Old Style" w:hAnsi="Bookman Old Style" w:cs="Arial"/>
          <w:i/>
          <w:iCs/>
          <w:sz w:val="24"/>
          <w:szCs w:val="24"/>
          <w:lang w:val="es-ES"/>
        </w:rPr>
        <w:t xml:space="preserve"> </w:t>
      </w:r>
      <w:r w:rsidRPr="008E69E3">
        <w:rPr>
          <w:rFonts w:ascii="Bookman Old Style" w:hAnsi="Bookman Old Style" w:cs="Arial"/>
          <w:i/>
          <w:iCs/>
          <w:sz w:val="24"/>
          <w:szCs w:val="24"/>
          <w:lang w:val="es-ES"/>
        </w:rPr>
        <w:t>periodo de facturación en análisis</w:t>
      </w:r>
      <w:r w:rsidR="007C6C69">
        <w:rPr>
          <w:rFonts w:ascii="Bookman Old Style" w:hAnsi="Bookman Old Style" w:cs="Arial"/>
          <w:i/>
          <w:iCs/>
          <w:sz w:val="24"/>
          <w:szCs w:val="24"/>
          <w:lang w:val="es-ES"/>
        </w:rPr>
        <w:t>.</w:t>
      </w:r>
    </w:p>
    <w:p w14:paraId="56430791" w14:textId="7326DFCC" w:rsidR="004848E9" w:rsidRDefault="004848E9" w:rsidP="004848E9">
      <w:pPr>
        <w:pStyle w:val="Prrafodelista"/>
        <w:numPr>
          <w:ilvl w:val="0"/>
          <w:numId w:val="23"/>
        </w:numPr>
        <w:tabs>
          <w:tab w:val="left" w:pos="1701"/>
        </w:tabs>
        <w:spacing w:before="240" w:after="240"/>
        <w:ind w:left="426"/>
        <w:jc w:val="both"/>
        <w:rPr>
          <w:rFonts w:ascii="Bookman Old Style" w:hAnsi="Bookman Old Style" w:cs="Arial"/>
          <w:i/>
          <w:iCs/>
          <w:sz w:val="24"/>
          <w:szCs w:val="24"/>
          <w:lang w:val="es-ES"/>
        </w:rPr>
      </w:pPr>
      <w:r>
        <w:rPr>
          <w:rFonts w:ascii="Bookman Old Style" w:hAnsi="Bookman Old Style" w:cs="Arial"/>
          <w:i/>
          <w:iCs/>
          <w:sz w:val="24"/>
          <w:szCs w:val="24"/>
          <w:lang w:val="es-ES"/>
        </w:rPr>
        <w:t xml:space="preserve">Definición de límites para determinar el inicio de la investigación por </w:t>
      </w:r>
      <w:r w:rsidR="005632B5">
        <w:rPr>
          <w:rFonts w:ascii="Bookman Old Style" w:hAnsi="Bookman Old Style" w:cs="Arial"/>
          <w:i/>
          <w:iCs/>
          <w:sz w:val="24"/>
          <w:szCs w:val="24"/>
          <w:lang w:val="es-ES"/>
        </w:rPr>
        <w:t xml:space="preserve">desviaciones </w:t>
      </w:r>
      <w:r>
        <w:rPr>
          <w:rFonts w:ascii="Bookman Old Style" w:hAnsi="Bookman Old Style" w:cs="Arial"/>
          <w:i/>
          <w:iCs/>
          <w:sz w:val="24"/>
          <w:szCs w:val="24"/>
          <w:lang w:val="es-ES"/>
        </w:rPr>
        <w:t>significativa</w:t>
      </w:r>
      <w:r w:rsidR="005632B5">
        <w:rPr>
          <w:rFonts w:ascii="Bookman Old Style" w:hAnsi="Bookman Old Style" w:cs="Arial"/>
          <w:i/>
          <w:iCs/>
          <w:sz w:val="24"/>
          <w:szCs w:val="24"/>
          <w:lang w:val="es-ES"/>
        </w:rPr>
        <w:t>s</w:t>
      </w:r>
      <w:r>
        <w:rPr>
          <w:rFonts w:ascii="Bookman Old Style" w:hAnsi="Bookman Old Style" w:cs="Arial"/>
          <w:i/>
          <w:iCs/>
          <w:sz w:val="24"/>
          <w:szCs w:val="24"/>
          <w:lang w:val="es-ES"/>
        </w:rPr>
        <w:t xml:space="preserve">: </w:t>
      </w:r>
    </w:p>
    <w:p w14:paraId="48AFFDFA" w14:textId="5EE205F1" w:rsidR="001F76C7" w:rsidRDefault="001F76C7" w:rsidP="00090016">
      <w:pPr>
        <w:pStyle w:val="Prrafodelista"/>
        <w:numPr>
          <w:ilvl w:val="1"/>
          <w:numId w:val="23"/>
        </w:numPr>
        <w:tabs>
          <w:tab w:val="left" w:pos="1418"/>
        </w:tabs>
        <w:spacing w:before="240" w:after="240"/>
        <w:ind w:left="1418" w:hanging="567"/>
        <w:jc w:val="both"/>
        <w:rPr>
          <w:rFonts w:ascii="Bookman Old Style" w:hAnsi="Bookman Old Style" w:cs="Arial"/>
          <w:i/>
          <w:iCs/>
          <w:sz w:val="24"/>
          <w:szCs w:val="24"/>
          <w:lang w:val="es-ES"/>
        </w:rPr>
      </w:pPr>
      <w:r w:rsidRPr="007B3539">
        <w:rPr>
          <w:rFonts w:ascii="Bookman Old Style" w:hAnsi="Bookman Old Style" w:cs="Arial"/>
          <w:i/>
          <w:iCs/>
          <w:sz w:val="24"/>
          <w:szCs w:val="24"/>
          <w:lang w:val="es-ES"/>
        </w:rPr>
        <w:t xml:space="preserve">El límite </w:t>
      </w:r>
      <w:r w:rsidR="00805175">
        <w:rPr>
          <w:rFonts w:ascii="Bookman Old Style" w:hAnsi="Bookman Old Style" w:cs="Arial"/>
          <w:i/>
          <w:iCs/>
          <w:sz w:val="24"/>
          <w:szCs w:val="24"/>
          <w:lang w:val="es-ES"/>
        </w:rPr>
        <w:t xml:space="preserve">superior </w:t>
      </w:r>
      <w:r w:rsidRPr="007B3539">
        <w:rPr>
          <w:rFonts w:ascii="Bookman Old Style" w:hAnsi="Bookman Old Style" w:cs="Arial"/>
          <w:i/>
          <w:iCs/>
          <w:sz w:val="24"/>
          <w:szCs w:val="24"/>
          <w:lang w:val="es-ES"/>
        </w:rPr>
        <w:t xml:space="preserve">para el periodo de facturación de análisis del suscriptor o usuario corresponderá al consumo promedio histórico </w:t>
      </w:r>
      <w:r w:rsidR="00312B65">
        <w:rPr>
          <w:rFonts w:ascii="Bookman Old Style" w:hAnsi="Bookman Old Style" w:cs="Arial"/>
          <w:i/>
          <w:iCs/>
          <w:sz w:val="24"/>
          <w:szCs w:val="24"/>
          <w:lang w:val="es-ES"/>
        </w:rPr>
        <w:t>para desviación significativa</w:t>
      </w:r>
      <w:r w:rsidR="00312B65" w:rsidRPr="008E69E3">
        <w:rPr>
          <w:rFonts w:ascii="Bookman Old Style" w:hAnsi="Bookman Old Style" w:cs="Arial"/>
          <w:i/>
          <w:iCs/>
          <w:sz w:val="24"/>
          <w:szCs w:val="24"/>
          <w:lang w:val="es-ES"/>
        </w:rPr>
        <w:t xml:space="preserve"> </w:t>
      </w:r>
      <w:r w:rsidR="00E323F2">
        <w:rPr>
          <w:rFonts w:ascii="Bookman Old Style" w:hAnsi="Bookman Old Style" w:cs="Arial"/>
          <w:i/>
          <w:iCs/>
          <w:sz w:val="24"/>
          <w:szCs w:val="24"/>
          <w:lang w:val="es-ES"/>
        </w:rPr>
        <w:t xml:space="preserve">del periodo de facturación </w:t>
      </w:r>
      <w:r w:rsidRPr="007B3539">
        <w:rPr>
          <w:rFonts w:ascii="Bookman Old Style" w:hAnsi="Bookman Old Style" w:cs="Arial"/>
          <w:i/>
          <w:iCs/>
          <w:sz w:val="24"/>
          <w:szCs w:val="24"/>
          <w:lang w:val="es-ES"/>
        </w:rPr>
        <w:t xml:space="preserve">más </w:t>
      </w:r>
      <w:r w:rsidR="00663058">
        <w:rPr>
          <w:rFonts w:ascii="Bookman Old Style" w:hAnsi="Bookman Old Style" w:cs="Arial"/>
          <w:i/>
          <w:iCs/>
          <w:sz w:val="24"/>
          <w:szCs w:val="24"/>
          <w:lang w:val="es-ES"/>
        </w:rPr>
        <w:t>tres</w:t>
      </w:r>
      <w:r w:rsidR="00663058" w:rsidRPr="007B3539">
        <w:rPr>
          <w:rFonts w:ascii="Bookman Old Style" w:hAnsi="Bookman Old Style" w:cs="Arial"/>
          <w:i/>
          <w:iCs/>
          <w:sz w:val="24"/>
          <w:szCs w:val="24"/>
          <w:lang w:val="es-ES"/>
        </w:rPr>
        <w:t xml:space="preserve"> </w:t>
      </w:r>
      <w:r w:rsidRPr="007B3539">
        <w:rPr>
          <w:rFonts w:ascii="Bookman Old Style" w:hAnsi="Bookman Old Style" w:cs="Arial"/>
          <w:i/>
          <w:iCs/>
          <w:sz w:val="24"/>
          <w:szCs w:val="24"/>
          <w:lang w:val="es-ES"/>
        </w:rPr>
        <w:t>(</w:t>
      </w:r>
      <w:r w:rsidR="00663058">
        <w:rPr>
          <w:rFonts w:ascii="Bookman Old Style" w:hAnsi="Bookman Old Style" w:cs="Arial"/>
          <w:i/>
          <w:iCs/>
          <w:sz w:val="24"/>
          <w:szCs w:val="24"/>
          <w:lang w:val="es-ES"/>
        </w:rPr>
        <w:t>3</w:t>
      </w:r>
      <w:r w:rsidRPr="007B3539">
        <w:rPr>
          <w:rFonts w:ascii="Bookman Old Style" w:hAnsi="Bookman Old Style" w:cs="Arial"/>
          <w:i/>
          <w:iCs/>
          <w:sz w:val="24"/>
          <w:szCs w:val="24"/>
          <w:lang w:val="es-ES"/>
        </w:rPr>
        <w:t>) desviaciones estándar.</w:t>
      </w:r>
    </w:p>
    <w:p w14:paraId="73D170C4" w14:textId="5FF3D437" w:rsidR="0076098B" w:rsidRPr="00312B65" w:rsidRDefault="0076098B" w:rsidP="00312B65">
      <w:pPr>
        <w:pStyle w:val="Prrafodelista"/>
        <w:numPr>
          <w:ilvl w:val="1"/>
          <w:numId w:val="23"/>
        </w:numPr>
        <w:tabs>
          <w:tab w:val="left" w:pos="1418"/>
        </w:tabs>
        <w:spacing w:before="240" w:after="240"/>
        <w:ind w:left="1418" w:hanging="567"/>
        <w:jc w:val="both"/>
        <w:rPr>
          <w:rFonts w:ascii="Bookman Old Style" w:hAnsi="Bookman Old Style" w:cs="Arial"/>
          <w:i/>
          <w:iCs/>
          <w:sz w:val="24"/>
          <w:szCs w:val="24"/>
          <w:lang w:val="es-ES"/>
        </w:rPr>
      </w:pPr>
      <w:r w:rsidRPr="00312B65">
        <w:rPr>
          <w:rFonts w:ascii="Bookman Old Style" w:hAnsi="Bookman Old Style" w:cs="Arial"/>
          <w:i/>
          <w:iCs/>
          <w:sz w:val="24"/>
          <w:szCs w:val="24"/>
          <w:lang w:val="es-ES"/>
        </w:rPr>
        <w:t xml:space="preserve">El límite inferior para el periodo de facturación del usuario corresponderá al </w:t>
      </w:r>
      <w:r w:rsidR="004848E9">
        <w:rPr>
          <w:rFonts w:ascii="Bookman Old Style" w:hAnsi="Bookman Old Style" w:cs="Arial"/>
          <w:i/>
          <w:iCs/>
          <w:sz w:val="24"/>
          <w:szCs w:val="24"/>
          <w:lang w:val="es-ES"/>
        </w:rPr>
        <w:t xml:space="preserve">máximo entre cero y el resultado de tomar el </w:t>
      </w:r>
      <w:r w:rsidRPr="00312B65">
        <w:rPr>
          <w:rFonts w:ascii="Bookman Old Style" w:hAnsi="Bookman Old Style" w:cs="Arial"/>
          <w:i/>
          <w:iCs/>
          <w:sz w:val="24"/>
          <w:szCs w:val="24"/>
          <w:lang w:val="es-ES"/>
        </w:rPr>
        <w:t xml:space="preserve">consumo promedio histórico </w:t>
      </w:r>
      <w:r w:rsidR="00312B65">
        <w:rPr>
          <w:rFonts w:ascii="Bookman Old Style" w:hAnsi="Bookman Old Style" w:cs="Arial"/>
          <w:i/>
          <w:iCs/>
          <w:sz w:val="24"/>
          <w:szCs w:val="24"/>
          <w:lang w:val="es-ES"/>
        </w:rPr>
        <w:t>para desviación significativa</w:t>
      </w:r>
      <w:r w:rsidR="00312B65" w:rsidRPr="008E69E3">
        <w:rPr>
          <w:rFonts w:ascii="Bookman Old Style" w:hAnsi="Bookman Old Style" w:cs="Arial"/>
          <w:i/>
          <w:iCs/>
          <w:sz w:val="24"/>
          <w:szCs w:val="24"/>
          <w:lang w:val="es-ES"/>
        </w:rPr>
        <w:t xml:space="preserve"> </w:t>
      </w:r>
      <w:r w:rsidR="00910995">
        <w:rPr>
          <w:rFonts w:ascii="Bookman Old Style" w:hAnsi="Bookman Old Style" w:cs="Arial"/>
          <w:i/>
          <w:iCs/>
          <w:sz w:val="24"/>
          <w:szCs w:val="24"/>
          <w:lang w:val="es-ES"/>
        </w:rPr>
        <w:t xml:space="preserve">del periodo de facturación </w:t>
      </w:r>
      <w:r w:rsidR="004848E9">
        <w:rPr>
          <w:rFonts w:ascii="Bookman Old Style" w:hAnsi="Bookman Old Style" w:cs="Arial"/>
          <w:i/>
          <w:iCs/>
          <w:sz w:val="24"/>
          <w:szCs w:val="24"/>
          <w:lang w:val="es-ES"/>
        </w:rPr>
        <w:t>y restarle</w:t>
      </w:r>
      <w:r w:rsidRPr="00312B65">
        <w:rPr>
          <w:rFonts w:ascii="Bookman Old Style" w:hAnsi="Bookman Old Style" w:cs="Arial"/>
          <w:i/>
          <w:iCs/>
          <w:sz w:val="24"/>
          <w:szCs w:val="24"/>
          <w:lang w:val="es-ES"/>
        </w:rPr>
        <w:t xml:space="preserve"> tres (3) deviaciones estándar</w:t>
      </w:r>
      <w:r w:rsidR="00910995">
        <w:rPr>
          <w:rFonts w:ascii="Bookman Old Style" w:hAnsi="Bookman Old Style" w:cs="Arial"/>
          <w:i/>
          <w:iCs/>
          <w:sz w:val="24"/>
          <w:szCs w:val="24"/>
          <w:lang w:val="es-ES"/>
        </w:rPr>
        <w:t>.</w:t>
      </w:r>
    </w:p>
    <w:p w14:paraId="3D1BC603" w14:textId="649B0712" w:rsidR="006716CE" w:rsidRDefault="006716CE" w:rsidP="00E54792">
      <w:pPr>
        <w:pStyle w:val="Prrafodelista"/>
        <w:numPr>
          <w:ilvl w:val="0"/>
          <w:numId w:val="23"/>
        </w:numPr>
        <w:tabs>
          <w:tab w:val="left" w:pos="1701"/>
        </w:tabs>
        <w:spacing w:before="240" w:after="240"/>
        <w:ind w:left="426"/>
        <w:jc w:val="both"/>
        <w:rPr>
          <w:rFonts w:ascii="Bookman Old Style" w:hAnsi="Bookman Old Style" w:cs="Arial"/>
          <w:i/>
          <w:iCs/>
          <w:sz w:val="24"/>
          <w:szCs w:val="24"/>
          <w:lang w:val="es-ES"/>
        </w:rPr>
      </w:pPr>
      <w:r>
        <w:rPr>
          <w:rFonts w:ascii="Bookman Old Style" w:hAnsi="Bookman Old Style" w:cs="Arial"/>
          <w:i/>
          <w:iCs/>
          <w:sz w:val="24"/>
          <w:szCs w:val="24"/>
          <w:lang w:val="es-ES"/>
        </w:rPr>
        <w:t>Serán i</w:t>
      </w:r>
      <w:r w:rsidR="004B2DC4">
        <w:rPr>
          <w:rFonts w:ascii="Bookman Old Style" w:hAnsi="Bookman Old Style" w:cs="Arial"/>
          <w:i/>
          <w:iCs/>
          <w:sz w:val="24"/>
          <w:szCs w:val="24"/>
          <w:lang w:val="es-ES"/>
        </w:rPr>
        <w:t>ndi</w:t>
      </w:r>
      <w:r>
        <w:rPr>
          <w:rFonts w:ascii="Bookman Old Style" w:hAnsi="Bookman Old Style" w:cs="Arial"/>
          <w:i/>
          <w:iCs/>
          <w:sz w:val="24"/>
          <w:szCs w:val="24"/>
          <w:lang w:val="es-ES"/>
        </w:rPr>
        <w:t>ca</w:t>
      </w:r>
      <w:r w:rsidR="004B2DC4">
        <w:rPr>
          <w:rFonts w:ascii="Bookman Old Style" w:hAnsi="Bookman Old Style" w:cs="Arial"/>
          <w:i/>
          <w:iCs/>
          <w:sz w:val="24"/>
          <w:szCs w:val="24"/>
          <w:lang w:val="es-ES"/>
        </w:rPr>
        <w:t>dores de inicio de investigaciones por desviaciones significativas</w:t>
      </w:r>
      <w:r>
        <w:rPr>
          <w:rFonts w:ascii="Bookman Old Style" w:hAnsi="Bookman Old Style" w:cs="Arial"/>
          <w:i/>
          <w:iCs/>
          <w:sz w:val="24"/>
          <w:szCs w:val="24"/>
          <w:lang w:val="es-ES"/>
        </w:rPr>
        <w:t xml:space="preserve"> lo</w:t>
      </w:r>
      <w:r w:rsidR="00A20F7F">
        <w:rPr>
          <w:rFonts w:ascii="Bookman Old Style" w:hAnsi="Bookman Old Style" w:cs="Arial"/>
          <w:i/>
          <w:iCs/>
          <w:sz w:val="24"/>
          <w:szCs w:val="24"/>
          <w:lang w:val="es-ES"/>
        </w:rPr>
        <w:t>s</w:t>
      </w:r>
      <w:r>
        <w:rPr>
          <w:rFonts w:ascii="Bookman Old Style" w:hAnsi="Bookman Old Style" w:cs="Arial"/>
          <w:i/>
          <w:iCs/>
          <w:sz w:val="24"/>
          <w:szCs w:val="24"/>
          <w:lang w:val="es-ES"/>
        </w:rPr>
        <w:t xml:space="preserve"> siguientes</w:t>
      </w:r>
      <w:r w:rsidR="004B2DC4">
        <w:rPr>
          <w:rFonts w:ascii="Bookman Old Style" w:hAnsi="Bookman Old Style" w:cs="Arial"/>
          <w:i/>
          <w:iCs/>
          <w:sz w:val="24"/>
          <w:szCs w:val="24"/>
          <w:lang w:val="es-ES"/>
        </w:rPr>
        <w:t>:</w:t>
      </w:r>
      <w:r>
        <w:rPr>
          <w:rFonts w:ascii="Bookman Old Style" w:hAnsi="Bookman Old Style" w:cs="Arial"/>
          <w:i/>
          <w:iCs/>
          <w:sz w:val="24"/>
          <w:szCs w:val="24"/>
          <w:lang w:val="es-ES"/>
        </w:rPr>
        <w:t xml:space="preserve"> </w:t>
      </w:r>
    </w:p>
    <w:p w14:paraId="796A2704" w14:textId="5A64E164" w:rsidR="00EB49D0" w:rsidRDefault="0086129F" w:rsidP="005632B5">
      <w:pPr>
        <w:pStyle w:val="Prrafodelista"/>
        <w:numPr>
          <w:ilvl w:val="1"/>
          <w:numId w:val="23"/>
        </w:numPr>
        <w:tabs>
          <w:tab w:val="left" w:pos="1418"/>
        </w:tabs>
        <w:spacing w:before="240" w:after="240"/>
        <w:ind w:left="1418" w:hanging="567"/>
        <w:jc w:val="both"/>
        <w:rPr>
          <w:rFonts w:ascii="Bookman Old Style" w:hAnsi="Bookman Old Style" w:cs="Arial"/>
          <w:i/>
          <w:iCs/>
          <w:sz w:val="24"/>
          <w:szCs w:val="24"/>
          <w:lang w:val="es-ES"/>
        </w:rPr>
      </w:pPr>
      <w:r>
        <w:rPr>
          <w:rFonts w:ascii="Bookman Old Style" w:hAnsi="Bookman Old Style" w:cs="Arial"/>
          <w:i/>
          <w:iCs/>
          <w:sz w:val="24"/>
          <w:szCs w:val="24"/>
          <w:lang w:val="es-ES"/>
        </w:rPr>
        <w:t>E</w:t>
      </w:r>
      <w:r w:rsidR="001F76C7" w:rsidRPr="007E0E3A">
        <w:rPr>
          <w:rFonts w:ascii="Bookman Old Style" w:hAnsi="Bookman Old Style" w:cs="Arial"/>
          <w:i/>
          <w:iCs/>
          <w:sz w:val="24"/>
          <w:szCs w:val="24"/>
          <w:lang w:val="es-ES"/>
        </w:rPr>
        <w:t>l consumo que se registre en el mes de análisis</w:t>
      </w:r>
      <w:r w:rsidR="00B0718C" w:rsidRPr="007E0E3A">
        <w:rPr>
          <w:rFonts w:ascii="Bookman Old Style" w:hAnsi="Bookman Old Style" w:cs="Arial"/>
          <w:i/>
          <w:iCs/>
          <w:sz w:val="24"/>
          <w:szCs w:val="24"/>
          <w:lang w:val="es-ES"/>
        </w:rPr>
        <w:t>, una vez normalizado</w:t>
      </w:r>
      <w:r w:rsidR="007219A4">
        <w:rPr>
          <w:rFonts w:ascii="Bookman Old Style" w:hAnsi="Bookman Old Style" w:cs="Arial"/>
          <w:i/>
          <w:iCs/>
          <w:sz w:val="24"/>
          <w:szCs w:val="24"/>
          <w:lang w:val="es-ES"/>
        </w:rPr>
        <w:t xml:space="preserve"> </w:t>
      </w:r>
      <w:r w:rsidR="004C08A5">
        <w:rPr>
          <w:rFonts w:ascii="Bookman Old Style" w:hAnsi="Bookman Old Style" w:cs="Arial"/>
          <w:i/>
          <w:iCs/>
          <w:sz w:val="24"/>
          <w:szCs w:val="24"/>
          <w:lang w:val="es-ES"/>
        </w:rPr>
        <w:t xml:space="preserve">a </w:t>
      </w:r>
      <w:r w:rsidR="007219A4" w:rsidRPr="008E69E3">
        <w:rPr>
          <w:rFonts w:ascii="Bookman Old Style" w:hAnsi="Bookman Old Style" w:cs="Arial"/>
          <w:i/>
          <w:iCs/>
          <w:sz w:val="24"/>
          <w:szCs w:val="24"/>
          <w:lang w:val="es-ES"/>
        </w:rPr>
        <w:t>treinta (30) días</w:t>
      </w:r>
      <w:r w:rsidR="00B0718C" w:rsidRPr="007E0E3A">
        <w:rPr>
          <w:rFonts w:ascii="Bookman Old Style" w:hAnsi="Bookman Old Style" w:cs="Arial"/>
          <w:i/>
          <w:iCs/>
          <w:sz w:val="24"/>
          <w:szCs w:val="24"/>
          <w:lang w:val="es-ES"/>
        </w:rPr>
        <w:t>,</w:t>
      </w:r>
      <w:r w:rsidR="001F76C7" w:rsidRPr="007E0E3A">
        <w:rPr>
          <w:rFonts w:ascii="Bookman Old Style" w:hAnsi="Bookman Old Style" w:cs="Arial"/>
          <w:i/>
          <w:iCs/>
          <w:sz w:val="24"/>
          <w:szCs w:val="24"/>
          <w:lang w:val="es-ES"/>
        </w:rPr>
        <w:t xml:space="preserve"> se </w:t>
      </w:r>
      <w:r w:rsidR="000C77B2">
        <w:rPr>
          <w:rFonts w:ascii="Bookman Old Style" w:hAnsi="Bookman Old Style" w:cs="Arial"/>
          <w:i/>
          <w:iCs/>
          <w:sz w:val="24"/>
          <w:szCs w:val="24"/>
          <w:lang w:val="es-ES"/>
        </w:rPr>
        <w:t xml:space="preserve">dividirá </w:t>
      </w:r>
      <w:r w:rsidR="00C716A4">
        <w:rPr>
          <w:rFonts w:ascii="Bookman Old Style" w:hAnsi="Bookman Old Style" w:cs="Arial"/>
          <w:i/>
          <w:iCs/>
          <w:sz w:val="24"/>
          <w:szCs w:val="24"/>
          <w:lang w:val="es-ES"/>
        </w:rPr>
        <w:t xml:space="preserve">entre </w:t>
      </w:r>
      <w:r w:rsidR="000C77B2">
        <w:rPr>
          <w:rFonts w:ascii="Bookman Old Style" w:hAnsi="Bookman Old Style" w:cs="Arial"/>
          <w:i/>
          <w:iCs/>
          <w:sz w:val="24"/>
          <w:szCs w:val="24"/>
          <w:lang w:val="es-ES"/>
        </w:rPr>
        <w:t>el</w:t>
      </w:r>
      <w:r w:rsidR="007E0E3A" w:rsidRPr="007E0E3A">
        <w:rPr>
          <w:rFonts w:ascii="Bookman Old Style" w:hAnsi="Bookman Old Style" w:cs="Arial"/>
          <w:i/>
          <w:iCs/>
          <w:sz w:val="24"/>
          <w:szCs w:val="24"/>
          <w:lang w:val="es-ES"/>
        </w:rPr>
        <w:t xml:space="preserve"> </w:t>
      </w:r>
      <w:r w:rsidR="001F76C7" w:rsidRPr="007E0E3A">
        <w:rPr>
          <w:rFonts w:ascii="Bookman Old Style" w:hAnsi="Bookman Old Style" w:cs="Arial"/>
          <w:i/>
          <w:iCs/>
          <w:sz w:val="24"/>
          <w:szCs w:val="24"/>
          <w:lang w:val="es-ES"/>
        </w:rPr>
        <w:t>límite</w:t>
      </w:r>
      <w:r w:rsidR="007C33D1">
        <w:rPr>
          <w:rFonts w:ascii="Bookman Old Style" w:hAnsi="Bookman Old Style" w:cs="Arial"/>
          <w:i/>
          <w:iCs/>
          <w:sz w:val="24"/>
          <w:szCs w:val="24"/>
          <w:lang w:val="es-ES"/>
        </w:rPr>
        <w:t xml:space="preserve"> superior</w:t>
      </w:r>
      <w:r w:rsidR="001F76C7" w:rsidRPr="007E0E3A">
        <w:rPr>
          <w:rFonts w:ascii="Bookman Old Style" w:hAnsi="Bookman Old Style" w:cs="Arial"/>
          <w:i/>
          <w:iCs/>
          <w:sz w:val="24"/>
          <w:szCs w:val="24"/>
          <w:lang w:val="es-ES"/>
        </w:rPr>
        <w:t xml:space="preserve"> calculado anteriormente para cada periodo, y </w:t>
      </w:r>
      <w:r w:rsidR="000C77B2">
        <w:rPr>
          <w:rFonts w:ascii="Bookman Old Style" w:hAnsi="Bookman Old Style" w:cs="Arial"/>
          <w:i/>
          <w:iCs/>
          <w:sz w:val="24"/>
          <w:szCs w:val="24"/>
          <w:lang w:val="es-ES"/>
        </w:rPr>
        <w:t>luego se multiplicará por 100</w:t>
      </w:r>
      <w:r w:rsidR="004848E9">
        <w:rPr>
          <w:rFonts w:ascii="Bookman Old Style" w:hAnsi="Bookman Old Style" w:cs="Arial"/>
          <w:i/>
          <w:iCs/>
          <w:sz w:val="24"/>
          <w:szCs w:val="24"/>
          <w:lang w:val="es-ES"/>
        </w:rPr>
        <w:t>. E</w:t>
      </w:r>
      <w:r w:rsidR="001F76C7" w:rsidRPr="007E0E3A">
        <w:rPr>
          <w:rFonts w:ascii="Bookman Old Style" w:hAnsi="Bookman Old Style" w:cs="Arial"/>
          <w:i/>
          <w:iCs/>
          <w:sz w:val="24"/>
          <w:szCs w:val="24"/>
          <w:lang w:val="es-ES"/>
        </w:rPr>
        <w:t xml:space="preserve">n </w:t>
      </w:r>
      <w:r w:rsidR="000C77B2">
        <w:rPr>
          <w:rFonts w:ascii="Bookman Old Style" w:hAnsi="Bookman Old Style" w:cs="Arial"/>
          <w:i/>
          <w:iCs/>
          <w:sz w:val="24"/>
          <w:szCs w:val="24"/>
          <w:lang w:val="es-ES"/>
        </w:rPr>
        <w:t xml:space="preserve">el </w:t>
      </w:r>
      <w:r w:rsidR="001F76C7" w:rsidRPr="007E0E3A">
        <w:rPr>
          <w:rFonts w:ascii="Bookman Old Style" w:hAnsi="Bookman Old Style" w:cs="Arial"/>
          <w:i/>
          <w:iCs/>
          <w:sz w:val="24"/>
          <w:szCs w:val="24"/>
          <w:lang w:val="es-ES"/>
        </w:rPr>
        <w:t xml:space="preserve">caso de </w:t>
      </w:r>
      <w:r w:rsidR="004848E9">
        <w:rPr>
          <w:rFonts w:ascii="Bookman Old Style" w:hAnsi="Bookman Old Style" w:cs="Arial"/>
          <w:i/>
          <w:iCs/>
          <w:sz w:val="24"/>
          <w:szCs w:val="24"/>
          <w:lang w:val="es-ES"/>
        </w:rPr>
        <w:t xml:space="preserve">que este resultado </w:t>
      </w:r>
      <w:r w:rsidR="000C77B2">
        <w:rPr>
          <w:rFonts w:ascii="Bookman Old Style" w:hAnsi="Bookman Old Style" w:cs="Arial"/>
          <w:i/>
          <w:iCs/>
          <w:sz w:val="24"/>
          <w:szCs w:val="24"/>
          <w:lang w:val="es-ES"/>
        </w:rPr>
        <w:t>se</w:t>
      </w:r>
      <w:r w:rsidR="004848E9">
        <w:rPr>
          <w:rFonts w:ascii="Bookman Old Style" w:hAnsi="Bookman Old Style" w:cs="Arial"/>
          <w:i/>
          <w:iCs/>
          <w:sz w:val="24"/>
          <w:szCs w:val="24"/>
          <w:lang w:val="es-ES"/>
        </w:rPr>
        <w:t>a</w:t>
      </w:r>
      <w:r w:rsidR="000C77B2">
        <w:rPr>
          <w:rFonts w:ascii="Bookman Old Style" w:hAnsi="Bookman Old Style" w:cs="Arial"/>
          <w:i/>
          <w:iCs/>
          <w:sz w:val="24"/>
          <w:szCs w:val="24"/>
          <w:lang w:val="es-ES"/>
        </w:rPr>
        <w:t xml:space="preserve"> superior a 100</w:t>
      </w:r>
      <w:r w:rsidR="001F76C7" w:rsidRPr="007E0E3A">
        <w:rPr>
          <w:rFonts w:ascii="Bookman Old Style" w:hAnsi="Bookman Old Style" w:cs="Arial"/>
          <w:i/>
          <w:iCs/>
          <w:sz w:val="24"/>
          <w:szCs w:val="24"/>
          <w:lang w:val="es-ES"/>
        </w:rPr>
        <w:t>,</w:t>
      </w:r>
      <w:r w:rsidR="000C77B2">
        <w:rPr>
          <w:rFonts w:ascii="Bookman Old Style" w:hAnsi="Bookman Old Style" w:cs="Arial"/>
          <w:i/>
          <w:iCs/>
          <w:sz w:val="24"/>
          <w:szCs w:val="24"/>
          <w:lang w:val="es-ES"/>
        </w:rPr>
        <w:t xml:space="preserve"> </w:t>
      </w:r>
      <w:r w:rsidR="004848E9">
        <w:rPr>
          <w:rFonts w:ascii="Bookman Old Style" w:hAnsi="Bookman Old Style" w:cs="Arial"/>
          <w:i/>
          <w:iCs/>
          <w:sz w:val="24"/>
          <w:szCs w:val="24"/>
          <w:lang w:val="es-ES"/>
        </w:rPr>
        <w:t xml:space="preserve">será </w:t>
      </w:r>
      <w:r w:rsidR="000C77B2">
        <w:rPr>
          <w:rFonts w:ascii="Bookman Old Style" w:hAnsi="Bookman Old Style" w:cs="Arial"/>
          <w:i/>
          <w:iCs/>
          <w:sz w:val="24"/>
          <w:szCs w:val="24"/>
          <w:lang w:val="es-ES"/>
        </w:rPr>
        <w:t>obliga</w:t>
      </w:r>
      <w:r w:rsidR="004848E9">
        <w:rPr>
          <w:rFonts w:ascii="Bookman Old Style" w:hAnsi="Bookman Old Style" w:cs="Arial"/>
          <w:i/>
          <w:iCs/>
          <w:sz w:val="24"/>
          <w:szCs w:val="24"/>
          <w:lang w:val="es-ES"/>
        </w:rPr>
        <w:t>ción de</w:t>
      </w:r>
      <w:r w:rsidR="001F76C7" w:rsidRPr="007E0E3A">
        <w:rPr>
          <w:rFonts w:ascii="Bookman Old Style" w:hAnsi="Bookman Old Style" w:cs="Arial"/>
          <w:i/>
          <w:iCs/>
          <w:sz w:val="24"/>
          <w:szCs w:val="24"/>
          <w:lang w:val="es-ES"/>
        </w:rPr>
        <w:t xml:space="preserve"> la empresa iniciar un proceso de investigación por desviación significativa</w:t>
      </w:r>
      <w:bookmarkStart w:id="4" w:name="_Ref156575496"/>
      <w:r w:rsidR="005632B5">
        <w:rPr>
          <w:rFonts w:ascii="Bookman Old Style" w:hAnsi="Bookman Old Style" w:cs="Arial"/>
          <w:i/>
          <w:iCs/>
          <w:sz w:val="24"/>
          <w:szCs w:val="24"/>
          <w:lang w:val="es-ES"/>
        </w:rPr>
        <w:t>.</w:t>
      </w:r>
    </w:p>
    <w:bookmarkEnd w:id="4"/>
    <w:p w14:paraId="139D8118" w14:textId="12DF9F9E" w:rsidR="005012C0" w:rsidRPr="001F76C7" w:rsidRDefault="007C33D1" w:rsidP="005632B5">
      <w:pPr>
        <w:pStyle w:val="Prrafodelista"/>
        <w:numPr>
          <w:ilvl w:val="1"/>
          <w:numId w:val="23"/>
        </w:numPr>
        <w:tabs>
          <w:tab w:val="left" w:pos="1418"/>
        </w:tabs>
        <w:spacing w:before="240" w:after="240"/>
        <w:ind w:left="1418" w:hanging="567"/>
        <w:jc w:val="both"/>
        <w:rPr>
          <w:rFonts w:ascii="Bookman Old Style" w:hAnsi="Bookman Old Style" w:cs="Arial"/>
          <w:i/>
          <w:iCs/>
          <w:sz w:val="24"/>
          <w:szCs w:val="24"/>
          <w:lang w:val="es-ES"/>
        </w:rPr>
      </w:pPr>
      <w:r>
        <w:rPr>
          <w:rFonts w:ascii="Bookman Old Style" w:hAnsi="Bookman Old Style" w:cs="Arial"/>
          <w:i/>
          <w:iCs/>
          <w:sz w:val="24"/>
          <w:szCs w:val="24"/>
          <w:lang w:val="es-ES"/>
        </w:rPr>
        <w:t>El</w:t>
      </w:r>
      <w:r w:rsidR="008F51C0" w:rsidRPr="00426774">
        <w:rPr>
          <w:rFonts w:ascii="Bookman Old Style" w:hAnsi="Bookman Old Style" w:cs="Arial"/>
          <w:i/>
          <w:iCs/>
          <w:sz w:val="24"/>
          <w:szCs w:val="24"/>
          <w:lang w:val="es-ES"/>
        </w:rPr>
        <w:t xml:space="preserve"> </w:t>
      </w:r>
      <w:r w:rsidRPr="007E0E3A">
        <w:rPr>
          <w:rFonts w:ascii="Bookman Old Style" w:hAnsi="Bookman Old Style" w:cs="Arial"/>
          <w:i/>
          <w:iCs/>
          <w:sz w:val="24"/>
          <w:szCs w:val="24"/>
          <w:lang w:val="es-ES"/>
        </w:rPr>
        <w:t>consumo que se registre en el mes de análisis, una vez normalizado</w:t>
      </w:r>
      <w:r w:rsidR="004C08A5">
        <w:rPr>
          <w:rFonts w:ascii="Bookman Old Style" w:hAnsi="Bookman Old Style" w:cs="Arial"/>
          <w:i/>
          <w:iCs/>
          <w:sz w:val="24"/>
          <w:szCs w:val="24"/>
          <w:lang w:val="es-ES"/>
        </w:rPr>
        <w:t xml:space="preserve"> a treinta </w:t>
      </w:r>
      <w:r w:rsidR="004C08A5" w:rsidRPr="008E69E3">
        <w:rPr>
          <w:rFonts w:ascii="Bookman Old Style" w:hAnsi="Bookman Old Style" w:cs="Arial"/>
          <w:i/>
          <w:iCs/>
          <w:sz w:val="24"/>
          <w:szCs w:val="24"/>
          <w:lang w:val="es-ES"/>
        </w:rPr>
        <w:t>(30) días</w:t>
      </w:r>
      <w:r w:rsidRPr="007E0E3A">
        <w:rPr>
          <w:rFonts w:ascii="Bookman Old Style" w:hAnsi="Bookman Old Style" w:cs="Arial"/>
          <w:i/>
          <w:iCs/>
          <w:sz w:val="24"/>
          <w:szCs w:val="24"/>
          <w:lang w:val="es-ES"/>
        </w:rPr>
        <w:t xml:space="preserve">, se </w:t>
      </w:r>
      <w:r>
        <w:rPr>
          <w:rFonts w:ascii="Bookman Old Style" w:hAnsi="Bookman Old Style" w:cs="Arial"/>
          <w:i/>
          <w:iCs/>
          <w:sz w:val="24"/>
          <w:szCs w:val="24"/>
          <w:lang w:val="es-ES"/>
        </w:rPr>
        <w:t>dividirá entre el</w:t>
      </w:r>
      <w:r w:rsidRPr="007E0E3A">
        <w:rPr>
          <w:rFonts w:ascii="Bookman Old Style" w:hAnsi="Bookman Old Style" w:cs="Arial"/>
          <w:i/>
          <w:iCs/>
          <w:sz w:val="24"/>
          <w:szCs w:val="24"/>
          <w:lang w:val="es-ES"/>
        </w:rPr>
        <w:t xml:space="preserve"> límite</w:t>
      </w:r>
      <w:r w:rsidR="0008043D">
        <w:rPr>
          <w:rFonts w:ascii="Bookman Old Style" w:hAnsi="Bookman Old Style" w:cs="Arial"/>
          <w:i/>
          <w:iCs/>
          <w:sz w:val="24"/>
          <w:szCs w:val="24"/>
          <w:lang w:val="es-ES"/>
        </w:rPr>
        <w:t xml:space="preserve"> inferior</w:t>
      </w:r>
      <w:r w:rsidRPr="007E0E3A">
        <w:rPr>
          <w:rFonts w:ascii="Bookman Old Style" w:hAnsi="Bookman Old Style" w:cs="Arial"/>
          <w:i/>
          <w:iCs/>
          <w:sz w:val="24"/>
          <w:szCs w:val="24"/>
          <w:lang w:val="es-ES"/>
        </w:rPr>
        <w:t xml:space="preserve"> calculado anteriormente para cada periodo, </w:t>
      </w:r>
      <w:r w:rsidR="00EB49D0">
        <w:rPr>
          <w:rFonts w:ascii="Bookman Old Style" w:hAnsi="Bookman Old Style" w:cs="Arial"/>
          <w:i/>
          <w:iCs/>
          <w:sz w:val="24"/>
          <w:szCs w:val="24"/>
          <w:lang w:val="es-ES"/>
        </w:rPr>
        <w:t xml:space="preserve">siempre y cuando este sea mayor a cero, </w:t>
      </w:r>
      <w:r w:rsidRPr="007E0E3A">
        <w:rPr>
          <w:rFonts w:ascii="Bookman Old Style" w:hAnsi="Bookman Old Style" w:cs="Arial"/>
          <w:i/>
          <w:iCs/>
          <w:sz w:val="24"/>
          <w:szCs w:val="24"/>
          <w:lang w:val="es-ES"/>
        </w:rPr>
        <w:t xml:space="preserve">y </w:t>
      </w:r>
      <w:r>
        <w:rPr>
          <w:rFonts w:ascii="Bookman Old Style" w:hAnsi="Bookman Old Style" w:cs="Arial"/>
          <w:i/>
          <w:iCs/>
          <w:sz w:val="24"/>
          <w:szCs w:val="24"/>
          <w:lang w:val="es-ES"/>
        </w:rPr>
        <w:t>luego se multiplicará por 100</w:t>
      </w:r>
      <w:r w:rsidR="00EB49D0">
        <w:rPr>
          <w:rFonts w:ascii="Bookman Old Style" w:hAnsi="Bookman Old Style" w:cs="Arial"/>
          <w:i/>
          <w:iCs/>
          <w:sz w:val="24"/>
          <w:szCs w:val="24"/>
          <w:lang w:val="es-ES"/>
        </w:rPr>
        <w:t>. E</w:t>
      </w:r>
      <w:r w:rsidRPr="007E0E3A">
        <w:rPr>
          <w:rFonts w:ascii="Bookman Old Style" w:hAnsi="Bookman Old Style" w:cs="Arial"/>
          <w:i/>
          <w:iCs/>
          <w:sz w:val="24"/>
          <w:szCs w:val="24"/>
          <w:lang w:val="es-ES"/>
        </w:rPr>
        <w:t xml:space="preserve">n </w:t>
      </w:r>
      <w:r>
        <w:rPr>
          <w:rFonts w:ascii="Bookman Old Style" w:hAnsi="Bookman Old Style" w:cs="Arial"/>
          <w:i/>
          <w:iCs/>
          <w:sz w:val="24"/>
          <w:szCs w:val="24"/>
          <w:lang w:val="es-ES"/>
        </w:rPr>
        <w:t xml:space="preserve">el </w:t>
      </w:r>
      <w:r w:rsidRPr="007E0E3A">
        <w:rPr>
          <w:rFonts w:ascii="Bookman Old Style" w:hAnsi="Bookman Old Style" w:cs="Arial"/>
          <w:i/>
          <w:iCs/>
          <w:sz w:val="24"/>
          <w:szCs w:val="24"/>
          <w:lang w:val="es-ES"/>
        </w:rPr>
        <w:t xml:space="preserve">caso </w:t>
      </w:r>
      <w:r w:rsidR="00EB49D0">
        <w:rPr>
          <w:rFonts w:ascii="Bookman Old Style" w:hAnsi="Bookman Old Style" w:cs="Arial"/>
          <w:i/>
          <w:iCs/>
          <w:sz w:val="24"/>
          <w:szCs w:val="24"/>
          <w:lang w:val="es-ES"/>
        </w:rPr>
        <w:t>de que este resultado</w:t>
      </w:r>
      <w:r w:rsidRPr="007E0E3A">
        <w:rPr>
          <w:rFonts w:ascii="Bookman Old Style" w:hAnsi="Bookman Old Style" w:cs="Arial"/>
          <w:i/>
          <w:iCs/>
          <w:sz w:val="24"/>
          <w:szCs w:val="24"/>
          <w:lang w:val="es-ES"/>
        </w:rPr>
        <w:t xml:space="preserve"> </w:t>
      </w:r>
      <w:r>
        <w:rPr>
          <w:rFonts w:ascii="Bookman Old Style" w:hAnsi="Bookman Old Style" w:cs="Arial"/>
          <w:i/>
          <w:iCs/>
          <w:sz w:val="24"/>
          <w:szCs w:val="24"/>
          <w:lang w:val="es-ES"/>
        </w:rPr>
        <w:t>se</w:t>
      </w:r>
      <w:r w:rsidR="00EB49D0">
        <w:rPr>
          <w:rFonts w:ascii="Bookman Old Style" w:hAnsi="Bookman Old Style" w:cs="Arial"/>
          <w:i/>
          <w:iCs/>
          <w:sz w:val="24"/>
          <w:szCs w:val="24"/>
          <w:lang w:val="es-ES"/>
        </w:rPr>
        <w:t>a</w:t>
      </w:r>
      <w:r>
        <w:rPr>
          <w:rFonts w:ascii="Bookman Old Style" w:hAnsi="Bookman Old Style" w:cs="Arial"/>
          <w:i/>
          <w:iCs/>
          <w:sz w:val="24"/>
          <w:szCs w:val="24"/>
          <w:lang w:val="es-ES"/>
        </w:rPr>
        <w:t xml:space="preserve"> </w:t>
      </w:r>
      <w:r w:rsidR="0008043D">
        <w:rPr>
          <w:rFonts w:ascii="Bookman Old Style" w:hAnsi="Bookman Old Style" w:cs="Arial"/>
          <w:i/>
          <w:iCs/>
          <w:sz w:val="24"/>
          <w:szCs w:val="24"/>
          <w:lang w:val="es-ES"/>
        </w:rPr>
        <w:t>menor</w:t>
      </w:r>
      <w:r>
        <w:rPr>
          <w:rFonts w:ascii="Bookman Old Style" w:hAnsi="Bookman Old Style" w:cs="Arial"/>
          <w:i/>
          <w:iCs/>
          <w:sz w:val="24"/>
          <w:szCs w:val="24"/>
          <w:lang w:val="es-ES"/>
        </w:rPr>
        <w:t xml:space="preserve"> </w:t>
      </w:r>
      <w:r w:rsidR="00EB49D0">
        <w:rPr>
          <w:rFonts w:ascii="Bookman Old Style" w:hAnsi="Bookman Old Style" w:cs="Arial"/>
          <w:i/>
          <w:iCs/>
          <w:sz w:val="24"/>
          <w:szCs w:val="24"/>
          <w:lang w:val="es-ES"/>
        </w:rPr>
        <w:t>a</w:t>
      </w:r>
      <w:r>
        <w:rPr>
          <w:rFonts w:ascii="Bookman Old Style" w:hAnsi="Bookman Old Style" w:cs="Arial"/>
          <w:i/>
          <w:iCs/>
          <w:sz w:val="24"/>
          <w:szCs w:val="24"/>
          <w:lang w:val="es-ES"/>
        </w:rPr>
        <w:t>l 100</w:t>
      </w:r>
      <w:r w:rsidRPr="007E0E3A">
        <w:rPr>
          <w:rFonts w:ascii="Bookman Old Style" w:hAnsi="Bookman Old Style" w:cs="Arial"/>
          <w:i/>
          <w:iCs/>
          <w:sz w:val="24"/>
          <w:szCs w:val="24"/>
          <w:lang w:val="es-ES"/>
        </w:rPr>
        <w:t>,</w:t>
      </w:r>
      <w:r>
        <w:rPr>
          <w:rFonts w:ascii="Bookman Old Style" w:hAnsi="Bookman Old Style" w:cs="Arial"/>
          <w:i/>
          <w:iCs/>
          <w:sz w:val="24"/>
          <w:szCs w:val="24"/>
          <w:lang w:val="es-ES"/>
        </w:rPr>
        <w:t xml:space="preserve"> </w:t>
      </w:r>
      <w:r w:rsidRPr="007E0E3A">
        <w:rPr>
          <w:rFonts w:ascii="Bookman Old Style" w:hAnsi="Bookman Old Style" w:cs="Arial"/>
          <w:i/>
          <w:iCs/>
          <w:sz w:val="24"/>
          <w:szCs w:val="24"/>
          <w:lang w:val="es-ES"/>
        </w:rPr>
        <w:t>la empresa</w:t>
      </w:r>
      <w:r w:rsidR="0008043D">
        <w:rPr>
          <w:rFonts w:ascii="Bookman Old Style" w:hAnsi="Bookman Old Style" w:cs="Arial"/>
          <w:i/>
          <w:iCs/>
          <w:sz w:val="24"/>
          <w:szCs w:val="24"/>
          <w:lang w:val="es-ES"/>
        </w:rPr>
        <w:t xml:space="preserve"> </w:t>
      </w:r>
      <w:r w:rsidR="00760DB3">
        <w:rPr>
          <w:rFonts w:ascii="Bookman Old Style" w:hAnsi="Bookman Old Style" w:cs="Arial"/>
          <w:i/>
          <w:iCs/>
          <w:sz w:val="24"/>
          <w:szCs w:val="24"/>
          <w:lang w:val="es-ES"/>
        </w:rPr>
        <w:t>podrá</w:t>
      </w:r>
      <w:r w:rsidRPr="007E0E3A">
        <w:rPr>
          <w:rFonts w:ascii="Bookman Old Style" w:hAnsi="Bookman Old Style" w:cs="Arial"/>
          <w:i/>
          <w:iCs/>
          <w:sz w:val="24"/>
          <w:szCs w:val="24"/>
          <w:lang w:val="es-ES"/>
        </w:rPr>
        <w:t xml:space="preserve"> iniciar un proceso de investigación por desviación significativa</w:t>
      </w:r>
      <w:r w:rsidR="00EB49D0">
        <w:rPr>
          <w:rFonts w:ascii="Bookman Old Style" w:hAnsi="Bookman Old Style" w:cs="Arial"/>
          <w:i/>
          <w:iCs/>
          <w:sz w:val="24"/>
          <w:szCs w:val="24"/>
          <w:lang w:val="es-ES"/>
        </w:rPr>
        <w:t>.</w:t>
      </w:r>
    </w:p>
    <w:p w14:paraId="1B1E8CD9" w14:textId="2B9A00D0" w:rsidR="007C6C69" w:rsidRDefault="00760DB3" w:rsidP="005632B5">
      <w:pPr>
        <w:tabs>
          <w:tab w:val="left" w:pos="1701"/>
        </w:tabs>
        <w:spacing w:before="240" w:after="240"/>
        <w:ind w:left="1416"/>
        <w:jc w:val="both"/>
        <w:rPr>
          <w:rFonts w:ascii="Bookman Old Style" w:hAnsi="Bookman Old Style" w:cs="Arial"/>
          <w:i/>
          <w:iCs/>
        </w:rPr>
      </w:pPr>
      <w:r w:rsidRPr="005632B5">
        <w:rPr>
          <w:rFonts w:ascii="Bookman Old Style" w:hAnsi="Bookman Old Style" w:cs="Arial"/>
          <w:i/>
          <w:iCs/>
        </w:rPr>
        <w:t xml:space="preserve">En este caso </w:t>
      </w:r>
      <w:r w:rsidR="007B7AC6" w:rsidRPr="005632B5">
        <w:rPr>
          <w:rFonts w:ascii="Bookman Old Style" w:hAnsi="Bookman Old Style" w:cs="Arial"/>
          <w:i/>
          <w:iCs/>
        </w:rPr>
        <w:t xml:space="preserve">la empresa podrá decidir si realiza o no la investigación </w:t>
      </w:r>
      <w:r w:rsidR="00EB49D0" w:rsidRPr="005632B5">
        <w:rPr>
          <w:rFonts w:ascii="Bookman Old Style" w:hAnsi="Bookman Old Style" w:cs="Arial"/>
          <w:i/>
          <w:iCs/>
        </w:rPr>
        <w:t xml:space="preserve">por desviación </w:t>
      </w:r>
      <w:r w:rsidR="007B7AC6" w:rsidRPr="005632B5">
        <w:rPr>
          <w:rFonts w:ascii="Bookman Old Style" w:hAnsi="Bookman Old Style" w:cs="Arial"/>
          <w:i/>
          <w:iCs/>
        </w:rPr>
        <w:t>significativa de acuerdo con los parámetros que defina previamente en su contrato de condiciones uniformes</w:t>
      </w:r>
      <w:r w:rsidR="00E96BCB">
        <w:rPr>
          <w:rFonts w:ascii="Bookman Old Style" w:hAnsi="Bookman Old Style" w:cs="Arial"/>
          <w:i/>
          <w:iCs/>
        </w:rPr>
        <w:t>, situación que deberá ser informada al usuario con la remisión de la factura.</w:t>
      </w:r>
    </w:p>
    <w:p w14:paraId="6E9EDA64" w14:textId="0C31C1C5" w:rsidR="00F822A5" w:rsidRDefault="00F822A5" w:rsidP="007E0E3A">
      <w:pPr>
        <w:tabs>
          <w:tab w:val="left" w:pos="1701"/>
        </w:tabs>
        <w:spacing w:before="240" w:after="240"/>
        <w:ind w:left="426"/>
        <w:jc w:val="both"/>
        <w:rPr>
          <w:rFonts w:ascii="Bookman Old Style" w:hAnsi="Bookman Old Style" w:cs="Arial"/>
          <w:i/>
          <w:iCs/>
        </w:rPr>
      </w:pPr>
      <w:r>
        <w:rPr>
          <w:rFonts w:ascii="Bookman Old Style" w:hAnsi="Bookman Old Style" w:cs="Arial"/>
          <w:i/>
          <w:iCs/>
        </w:rPr>
        <w:t xml:space="preserve">En </w:t>
      </w:r>
      <w:r w:rsidR="00E45057">
        <w:rPr>
          <w:rFonts w:ascii="Bookman Old Style" w:hAnsi="Bookman Old Style" w:cs="Arial"/>
          <w:i/>
          <w:iCs/>
        </w:rPr>
        <w:t>los periodos</w:t>
      </w:r>
      <w:r>
        <w:rPr>
          <w:rFonts w:ascii="Bookman Old Style" w:hAnsi="Bookman Old Style" w:cs="Arial"/>
          <w:i/>
          <w:iCs/>
        </w:rPr>
        <w:t xml:space="preserve"> de facturación siguiente</w:t>
      </w:r>
      <w:r w:rsidR="00E45057">
        <w:rPr>
          <w:rFonts w:ascii="Bookman Old Style" w:hAnsi="Bookman Old Style" w:cs="Arial"/>
          <w:i/>
          <w:iCs/>
        </w:rPr>
        <w:t>s</w:t>
      </w:r>
      <w:r>
        <w:rPr>
          <w:rFonts w:ascii="Bookman Old Style" w:hAnsi="Bookman Old Style" w:cs="Arial"/>
          <w:i/>
          <w:iCs/>
        </w:rPr>
        <w:t xml:space="preserve"> al que se inicie</w:t>
      </w:r>
      <w:r w:rsidR="0078062E">
        <w:rPr>
          <w:rFonts w:ascii="Bookman Old Style" w:hAnsi="Bookman Old Style" w:cs="Arial"/>
          <w:i/>
          <w:iCs/>
        </w:rPr>
        <w:t xml:space="preserve"> una investigación por </w:t>
      </w:r>
      <w:r w:rsidR="005632B5">
        <w:rPr>
          <w:rFonts w:ascii="Bookman Old Style" w:hAnsi="Bookman Old Style" w:cs="Arial"/>
          <w:i/>
          <w:iCs/>
        </w:rPr>
        <w:t xml:space="preserve">desviaciones </w:t>
      </w:r>
      <w:r w:rsidR="0078062E">
        <w:rPr>
          <w:rFonts w:ascii="Bookman Old Style" w:hAnsi="Bookman Old Style" w:cs="Arial"/>
          <w:i/>
          <w:iCs/>
        </w:rPr>
        <w:t>significativa</w:t>
      </w:r>
      <w:r w:rsidR="005632B5">
        <w:rPr>
          <w:rFonts w:ascii="Bookman Old Style" w:hAnsi="Bookman Old Style" w:cs="Arial"/>
          <w:i/>
          <w:iCs/>
        </w:rPr>
        <w:t>s</w:t>
      </w:r>
      <w:r w:rsidR="00D80F8C">
        <w:rPr>
          <w:rFonts w:ascii="Bookman Old Style" w:hAnsi="Bookman Old Style" w:cs="Arial"/>
          <w:i/>
          <w:iCs/>
        </w:rPr>
        <w:t xml:space="preserve"> de consumo del usuario</w:t>
      </w:r>
      <w:r w:rsidR="0078062E">
        <w:rPr>
          <w:rFonts w:ascii="Bookman Old Style" w:hAnsi="Bookman Old Style" w:cs="Arial"/>
          <w:i/>
          <w:iCs/>
        </w:rPr>
        <w:t xml:space="preserve">, </w:t>
      </w:r>
      <w:r w:rsidR="00EB49D0">
        <w:rPr>
          <w:rFonts w:ascii="Bookman Old Style" w:hAnsi="Bookman Old Style" w:cs="Arial"/>
          <w:i/>
          <w:iCs/>
        </w:rPr>
        <w:t xml:space="preserve">solo </w:t>
      </w:r>
      <w:r w:rsidR="0078062E">
        <w:rPr>
          <w:rFonts w:ascii="Bookman Old Style" w:hAnsi="Bookman Old Style" w:cs="Arial"/>
          <w:i/>
          <w:iCs/>
        </w:rPr>
        <w:t>se realizará</w:t>
      </w:r>
      <w:r w:rsidR="00C85EEA">
        <w:rPr>
          <w:rFonts w:ascii="Bookman Old Style" w:hAnsi="Bookman Old Style" w:cs="Arial"/>
          <w:i/>
          <w:iCs/>
        </w:rPr>
        <w:t xml:space="preserve"> nuevamente</w:t>
      </w:r>
      <w:r w:rsidR="0078062E">
        <w:rPr>
          <w:rFonts w:ascii="Bookman Old Style" w:hAnsi="Bookman Old Style" w:cs="Arial"/>
          <w:i/>
          <w:iCs/>
        </w:rPr>
        <w:t xml:space="preserve"> el procedimiento definido en este artículo </w:t>
      </w:r>
      <w:r w:rsidR="00C85EEA">
        <w:rPr>
          <w:rFonts w:ascii="Bookman Old Style" w:hAnsi="Bookman Old Style" w:cs="Arial"/>
          <w:i/>
          <w:iCs/>
        </w:rPr>
        <w:t>una vez</w:t>
      </w:r>
      <w:r w:rsidR="00876703">
        <w:rPr>
          <w:rFonts w:ascii="Bookman Old Style" w:hAnsi="Bookman Old Style" w:cs="Arial"/>
          <w:i/>
          <w:iCs/>
        </w:rPr>
        <w:t xml:space="preserve"> la empresa encuentre la causa de la desviación</w:t>
      </w:r>
      <w:r w:rsidR="00177AE8">
        <w:rPr>
          <w:rFonts w:ascii="Bookman Old Style" w:hAnsi="Bookman Old Style" w:cs="Arial"/>
          <w:i/>
          <w:iCs/>
        </w:rPr>
        <w:t>,</w:t>
      </w:r>
      <w:r w:rsidR="00C85EEA">
        <w:rPr>
          <w:rFonts w:ascii="Bookman Old Style" w:hAnsi="Bookman Old Style" w:cs="Arial"/>
          <w:i/>
          <w:iCs/>
        </w:rPr>
        <w:t xml:space="preserve"> ajuste los consumos </w:t>
      </w:r>
      <w:r w:rsidR="00177AE8">
        <w:rPr>
          <w:rFonts w:ascii="Bookman Old Style" w:hAnsi="Bookman Old Style" w:cs="Arial"/>
          <w:i/>
          <w:iCs/>
        </w:rPr>
        <w:t>del periodo</w:t>
      </w:r>
      <w:r w:rsidR="00BF7E56">
        <w:rPr>
          <w:rFonts w:ascii="Bookman Old Style" w:hAnsi="Bookman Old Style" w:cs="Arial"/>
          <w:i/>
          <w:iCs/>
        </w:rPr>
        <w:t xml:space="preserve"> en investigación y los </w:t>
      </w:r>
      <w:r w:rsidR="00177AE8">
        <w:rPr>
          <w:rFonts w:ascii="Bookman Old Style" w:hAnsi="Bookman Old Style" w:cs="Arial"/>
          <w:i/>
          <w:iCs/>
        </w:rPr>
        <w:t xml:space="preserve">consumos </w:t>
      </w:r>
      <w:r w:rsidR="00D54AC1">
        <w:rPr>
          <w:rFonts w:ascii="Bookman Old Style" w:hAnsi="Bookman Old Style" w:cs="Arial"/>
          <w:i/>
          <w:iCs/>
        </w:rPr>
        <w:t xml:space="preserve">de los periodos </w:t>
      </w:r>
      <w:r w:rsidR="00BF7E56">
        <w:rPr>
          <w:rFonts w:ascii="Bookman Old Style" w:hAnsi="Bookman Old Style" w:cs="Arial"/>
          <w:i/>
          <w:iCs/>
        </w:rPr>
        <w:t>siguientes según sea el caso.</w:t>
      </w:r>
    </w:p>
    <w:p w14:paraId="753BB2E4" w14:textId="4A47F131" w:rsidR="00A873AE" w:rsidRDefault="001F76C7" w:rsidP="007E0E3A">
      <w:pPr>
        <w:tabs>
          <w:tab w:val="left" w:pos="1701"/>
        </w:tabs>
        <w:spacing w:before="240" w:after="240"/>
        <w:ind w:left="426"/>
        <w:jc w:val="both"/>
        <w:rPr>
          <w:rFonts w:ascii="Bookman Old Style" w:hAnsi="Bookman Old Style" w:cs="Arial"/>
          <w:i/>
          <w:iCs/>
        </w:rPr>
      </w:pPr>
      <w:r w:rsidRPr="007E0E3A">
        <w:rPr>
          <w:rFonts w:ascii="Bookman Old Style" w:hAnsi="Bookman Old Style" w:cs="Arial"/>
          <w:i/>
          <w:iCs/>
        </w:rPr>
        <w:t>Parágrafo 2º.</w:t>
      </w:r>
      <w:r w:rsidR="00B0718C" w:rsidRPr="007E0E3A">
        <w:rPr>
          <w:rFonts w:ascii="Bookman Old Style" w:hAnsi="Bookman Old Style" w:cs="Arial"/>
          <w:i/>
          <w:iCs/>
        </w:rPr>
        <w:t xml:space="preserve"> </w:t>
      </w:r>
      <w:r w:rsidR="007C6F44">
        <w:rPr>
          <w:rFonts w:ascii="Bookman Old Style" w:hAnsi="Bookman Old Style" w:cs="Arial"/>
          <w:i/>
          <w:iCs/>
        </w:rPr>
        <w:t>Siempre que se inicie una investigación por desviaci</w:t>
      </w:r>
      <w:r w:rsidR="005632B5">
        <w:rPr>
          <w:rFonts w:ascii="Bookman Old Style" w:hAnsi="Bookman Old Style" w:cs="Arial"/>
          <w:i/>
          <w:iCs/>
        </w:rPr>
        <w:t>ones</w:t>
      </w:r>
      <w:r w:rsidR="00EB49D0">
        <w:rPr>
          <w:rFonts w:ascii="Bookman Old Style" w:hAnsi="Bookman Old Style" w:cs="Arial"/>
          <w:i/>
          <w:iCs/>
        </w:rPr>
        <w:t xml:space="preserve"> </w:t>
      </w:r>
      <w:r w:rsidR="007C6F44">
        <w:rPr>
          <w:rFonts w:ascii="Bookman Old Style" w:hAnsi="Bookman Old Style" w:cs="Arial"/>
          <w:i/>
          <w:iCs/>
        </w:rPr>
        <w:t>significativa</w:t>
      </w:r>
      <w:r w:rsidR="005632B5">
        <w:rPr>
          <w:rFonts w:ascii="Bookman Old Style" w:hAnsi="Bookman Old Style" w:cs="Arial"/>
          <w:i/>
          <w:iCs/>
        </w:rPr>
        <w:t>s</w:t>
      </w:r>
      <w:r w:rsidR="007C6F44">
        <w:rPr>
          <w:rFonts w:ascii="Bookman Old Style" w:hAnsi="Bookman Old Style" w:cs="Arial"/>
          <w:i/>
          <w:iCs/>
        </w:rPr>
        <w:t xml:space="preserve"> l</w:t>
      </w:r>
      <w:r w:rsidRPr="007E0E3A">
        <w:rPr>
          <w:rFonts w:ascii="Bookman Old Style" w:hAnsi="Bookman Old Style" w:cs="Arial"/>
          <w:i/>
          <w:iCs/>
        </w:rPr>
        <w:t>a Empresa deberá practicar las visitas y realizar las pruebas técnicas que se requieran con el fin de precisar la causa que originó la desviación detectada en la revisión previa.</w:t>
      </w:r>
      <w:r w:rsidR="00A873AE">
        <w:rPr>
          <w:rFonts w:ascii="Bookman Old Style" w:hAnsi="Bookman Old Style" w:cs="Arial"/>
          <w:i/>
          <w:iCs/>
        </w:rPr>
        <w:t xml:space="preserve"> </w:t>
      </w:r>
    </w:p>
    <w:p w14:paraId="07B9B5CB" w14:textId="656C9852" w:rsidR="001F76C7" w:rsidRDefault="00A873AE" w:rsidP="007E0E3A">
      <w:pPr>
        <w:tabs>
          <w:tab w:val="left" w:pos="1701"/>
        </w:tabs>
        <w:spacing w:before="240" w:after="240"/>
        <w:ind w:left="426"/>
        <w:jc w:val="both"/>
        <w:rPr>
          <w:rFonts w:ascii="Bookman Old Style" w:hAnsi="Bookman Old Style" w:cs="Arial"/>
          <w:i/>
          <w:iCs/>
        </w:rPr>
      </w:pPr>
      <w:r>
        <w:rPr>
          <w:rFonts w:ascii="Bookman Old Style" w:hAnsi="Bookman Old Style" w:cs="Arial"/>
          <w:i/>
          <w:iCs/>
        </w:rPr>
        <w:t xml:space="preserve">La empresa </w:t>
      </w:r>
      <w:r w:rsidR="007C6C69">
        <w:rPr>
          <w:rFonts w:ascii="Bookman Old Style" w:hAnsi="Bookman Old Style" w:cs="Arial"/>
          <w:i/>
          <w:iCs/>
        </w:rPr>
        <w:t xml:space="preserve">estará exceptuada de </w:t>
      </w:r>
      <w:r>
        <w:rPr>
          <w:rFonts w:ascii="Bookman Old Style" w:hAnsi="Bookman Old Style" w:cs="Arial"/>
          <w:i/>
          <w:iCs/>
        </w:rPr>
        <w:t xml:space="preserve">realizar la visita </w:t>
      </w:r>
      <w:r w:rsidR="007C6C69">
        <w:rPr>
          <w:rFonts w:ascii="Bookman Old Style" w:hAnsi="Bookman Old Style" w:cs="Arial"/>
          <w:i/>
          <w:iCs/>
        </w:rPr>
        <w:t>cuando</w:t>
      </w:r>
      <w:r>
        <w:rPr>
          <w:rFonts w:ascii="Bookman Old Style" w:hAnsi="Bookman Old Style" w:cs="Arial"/>
          <w:i/>
          <w:iCs/>
        </w:rPr>
        <w:t xml:space="preserve"> compruebe </w:t>
      </w:r>
      <w:r w:rsidR="007C6C69">
        <w:rPr>
          <w:rFonts w:ascii="Bookman Old Style" w:hAnsi="Bookman Old Style" w:cs="Arial"/>
          <w:i/>
          <w:iCs/>
        </w:rPr>
        <w:t>a través</w:t>
      </w:r>
      <w:r>
        <w:rPr>
          <w:rFonts w:ascii="Bookman Old Style" w:hAnsi="Bookman Old Style" w:cs="Arial"/>
          <w:i/>
          <w:iCs/>
        </w:rPr>
        <w:t xml:space="preserve"> </w:t>
      </w:r>
      <w:r w:rsidR="007C6C69">
        <w:rPr>
          <w:rFonts w:ascii="Bookman Old Style" w:hAnsi="Bookman Old Style" w:cs="Arial"/>
          <w:i/>
          <w:iCs/>
        </w:rPr>
        <w:t xml:space="preserve">de un </w:t>
      </w:r>
      <w:r>
        <w:rPr>
          <w:rFonts w:ascii="Bookman Old Style" w:hAnsi="Bookman Old Style" w:cs="Arial"/>
          <w:i/>
          <w:iCs/>
        </w:rPr>
        <w:t>proceso de analítica de datos</w:t>
      </w:r>
      <w:r w:rsidR="007C6C69">
        <w:rPr>
          <w:rFonts w:ascii="Bookman Old Style" w:hAnsi="Bookman Old Style" w:cs="Arial"/>
          <w:i/>
          <w:iCs/>
        </w:rPr>
        <w:t xml:space="preserve"> que la desviación se encuentra </w:t>
      </w:r>
      <w:r w:rsidR="001208FA">
        <w:rPr>
          <w:rFonts w:ascii="Bookman Old Style" w:hAnsi="Bookman Old Style" w:cs="Arial"/>
          <w:i/>
          <w:iCs/>
        </w:rPr>
        <w:t>justificada</w:t>
      </w:r>
      <w:r w:rsidR="007C6C69">
        <w:rPr>
          <w:rFonts w:ascii="Bookman Old Style" w:hAnsi="Bookman Old Style" w:cs="Arial"/>
          <w:i/>
          <w:iCs/>
        </w:rPr>
        <w:t xml:space="preserve">; lo cual deberá ser debidamente informado al usuario en documento anexo a la factura para que este pueda ejercer su derecho a la defensa en caso de </w:t>
      </w:r>
      <w:r w:rsidR="007C6C69">
        <w:rPr>
          <w:rFonts w:ascii="Bookman Old Style" w:hAnsi="Bookman Old Style" w:cs="Arial"/>
          <w:i/>
          <w:iCs/>
        </w:rPr>
        <w:lastRenderedPageBreak/>
        <w:t>considerar necesaria la visita</w:t>
      </w:r>
      <w:r w:rsidR="00EE416E">
        <w:rPr>
          <w:rFonts w:ascii="Bookman Old Style" w:hAnsi="Bookman Old Style" w:cs="Arial"/>
          <w:i/>
          <w:iCs/>
        </w:rPr>
        <w:t>, caso en el cual la empresa estará obligada a realizarla</w:t>
      </w:r>
      <w:r w:rsidR="007C6C69">
        <w:rPr>
          <w:rFonts w:ascii="Bookman Old Style" w:hAnsi="Bookman Old Style" w:cs="Arial"/>
          <w:i/>
          <w:iCs/>
        </w:rPr>
        <w:t>.</w:t>
      </w:r>
    </w:p>
    <w:p w14:paraId="258616EB" w14:textId="2684BAAF" w:rsidR="007C6C69" w:rsidRPr="007E0E3A" w:rsidRDefault="007C6C69" w:rsidP="007E0E3A">
      <w:pPr>
        <w:tabs>
          <w:tab w:val="left" w:pos="1701"/>
        </w:tabs>
        <w:spacing w:before="240" w:after="240"/>
        <w:ind w:left="426"/>
        <w:jc w:val="both"/>
        <w:rPr>
          <w:rFonts w:ascii="Bookman Old Style" w:hAnsi="Bookman Old Style" w:cs="Arial"/>
          <w:i/>
          <w:iCs/>
        </w:rPr>
      </w:pPr>
      <w:r>
        <w:rPr>
          <w:rFonts w:ascii="Bookman Old Style" w:hAnsi="Bookman Old Style" w:cs="Arial"/>
          <w:i/>
          <w:iCs/>
        </w:rPr>
        <w:t xml:space="preserve">Para tal fin la empresa deberá definir previamente los procesos de analítica de datos </w:t>
      </w:r>
      <w:r w:rsidR="000F69D7">
        <w:rPr>
          <w:rFonts w:ascii="Bookman Old Style" w:hAnsi="Bookman Old Style" w:cs="Arial"/>
          <w:i/>
          <w:iCs/>
        </w:rPr>
        <w:t>que utilizará</w:t>
      </w:r>
      <w:r w:rsidR="00EB49D0">
        <w:rPr>
          <w:rFonts w:ascii="Bookman Old Style" w:hAnsi="Bookman Old Style" w:cs="Arial"/>
          <w:i/>
          <w:iCs/>
        </w:rPr>
        <w:t>,</w:t>
      </w:r>
      <w:r w:rsidR="000F69D7">
        <w:rPr>
          <w:rFonts w:ascii="Bookman Old Style" w:hAnsi="Bookman Old Style" w:cs="Arial"/>
          <w:i/>
          <w:iCs/>
        </w:rPr>
        <w:t xml:space="preserve"> </w:t>
      </w:r>
      <w:r>
        <w:rPr>
          <w:rFonts w:ascii="Bookman Old Style" w:hAnsi="Bookman Old Style" w:cs="Arial"/>
          <w:i/>
          <w:iCs/>
        </w:rPr>
        <w:t xml:space="preserve">los cuales serán adoptados </w:t>
      </w:r>
      <w:r w:rsidR="000F69D7">
        <w:rPr>
          <w:rFonts w:ascii="Bookman Old Style" w:hAnsi="Bookman Old Style" w:cs="Arial"/>
          <w:i/>
          <w:iCs/>
        </w:rPr>
        <w:t xml:space="preserve">y explicados </w:t>
      </w:r>
      <w:r>
        <w:rPr>
          <w:rFonts w:ascii="Bookman Old Style" w:hAnsi="Bookman Old Style" w:cs="Arial"/>
          <w:i/>
          <w:iCs/>
        </w:rPr>
        <w:t>dentro del contrato de condiciones uniformes</w:t>
      </w:r>
      <w:r w:rsidR="007D1CB8">
        <w:rPr>
          <w:rFonts w:ascii="Bookman Old Style" w:hAnsi="Bookman Old Style" w:cs="Arial"/>
          <w:i/>
          <w:iCs/>
        </w:rPr>
        <w:t>,</w:t>
      </w:r>
      <w:r>
        <w:rPr>
          <w:rFonts w:ascii="Bookman Old Style" w:hAnsi="Bookman Old Style" w:cs="Arial"/>
          <w:i/>
          <w:iCs/>
        </w:rPr>
        <w:t xml:space="preserve"> </w:t>
      </w:r>
      <w:r w:rsidR="007A06E8">
        <w:rPr>
          <w:rFonts w:ascii="Bookman Old Style" w:hAnsi="Bookman Old Style" w:cs="Arial"/>
          <w:i/>
          <w:iCs/>
        </w:rPr>
        <w:t xml:space="preserve">así como </w:t>
      </w:r>
      <w:r>
        <w:rPr>
          <w:rFonts w:ascii="Bookman Old Style" w:hAnsi="Bookman Old Style" w:cs="Arial"/>
          <w:i/>
          <w:iCs/>
        </w:rPr>
        <w:t>publicados en la página web de la empresa para conocimiento de los usuarios y demás interesados</w:t>
      </w:r>
      <w:r w:rsidR="00EE416E">
        <w:rPr>
          <w:rFonts w:ascii="Bookman Old Style" w:hAnsi="Bookman Old Style" w:cs="Arial"/>
          <w:i/>
          <w:iCs/>
        </w:rPr>
        <w:t>, de manera clara y en lenguaje comprensible</w:t>
      </w:r>
      <w:r>
        <w:rPr>
          <w:rFonts w:ascii="Bookman Old Style" w:hAnsi="Bookman Old Style" w:cs="Arial"/>
          <w:i/>
          <w:iCs/>
        </w:rPr>
        <w:t>.</w:t>
      </w:r>
    </w:p>
    <w:p w14:paraId="7A7FDD72" w14:textId="214FBA67" w:rsidR="001F76C7" w:rsidRDefault="001F76C7" w:rsidP="00090016">
      <w:pPr>
        <w:tabs>
          <w:tab w:val="left" w:pos="1701"/>
        </w:tabs>
        <w:spacing w:before="240" w:after="240"/>
        <w:ind w:left="426"/>
        <w:jc w:val="both"/>
        <w:rPr>
          <w:rFonts w:ascii="Bookman Old Style" w:hAnsi="Bookman Old Style" w:cs="Arial"/>
          <w:i/>
          <w:iCs/>
        </w:rPr>
      </w:pPr>
      <w:r w:rsidRPr="00294B8B">
        <w:rPr>
          <w:rFonts w:ascii="Bookman Old Style" w:hAnsi="Bookman Old Style" w:cs="Arial"/>
          <w:i/>
          <w:iCs/>
        </w:rPr>
        <w:t xml:space="preserve">Parágrafo 3. </w:t>
      </w:r>
      <w:r w:rsidR="00E954EA">
        <w:rPr>
          <w:rFonts w:ascii="Bookman Old Style" w:hAnsi="Bookman Old Style" w:cs="Arial"/>
          <w:i/>
          <w:iCs/>
        </w:rPr>
        <w:t xml:space="preserve">El mecanismo propuesto </w:t>
      </w:r>
      <w:r w:rsidR="00B0718C">
        <w:rPr>
          <w:rFonts w:ascii="Bookman Old Style" w:hAnsi="Bookman Old Style" w:cs="Arial"/>
          <w:i/>
          <w:iCs/>
        </w:rPr>
        <w:t xml:space="preserve">en el parágrafo 1 de este artículo </w:t>
      </w:r>
      <w:r w:rsidR="00E954EA">
        <w:rPr>
          <w:rFonts w:ascii="Bookman Old Style" w:hAnsi="Bookman Old Style" w:cs="Arial"/>
          <w:i/>
          <w:iCs/>
        </w:rPr>
        <w:t xml:space="preserve">no </w:t>
      </w:r>
      <w:r w:rsidR="00B0718C">
        <w:rPr>
          <w:rFonts w:ascii="Bookman Old Style" w:hAnsi="Bookman Old Style" w:cs="Arial"/>
          <w:i/>
          <w:iCs/>
        </w:rPr>
        <w:t xml:space="preserve">podrá </w:t>
      </w:r>
      <w:r w:rsidR="00E954EA">
        <w:rPr>
          <w:rFonts w:ascii="Bookman Old Style" w:hAnsi="Bookman Old Style" w:cs="Arial"/>
          <w:i/>
          <w:iCs/>
        </w:rPr>
        <w:t xml:space="preserve">ser aplicado en las investigaciones por </w:t>
      </w:r>
      <w:r w:rsidR="005632B5">
        <w:rPr>
          <w:rFonts w:ascii="Bookman Old Style" w:hAnsi="Bookman Old Style" w:cs="Arial"/>
          <w:i/>
          <w:iCs/>
        </w:rPr>
        <w:t xml:space="preserve">desviaciones </w:t>
      </w:r>
      <w:r w:rsidR="00E954EA">
        <w:rPr>
          <w:rFonts w:ascii="Bookman Old Style" w:hAnsi="Bookman Old Style" w:cs="Arial"/>
          <w:i/>
          <w:iCs/>
        </w:rPr>
        <w:t>significativa</w:t>
      </w:r>
      <w:r w:rsidR="005632B5">
        <w:rPr>
          <w:rFonts w:ascii="Bookman Old Style" w:hAnsi="Bookman Old Style" w:cs="Arial"/>
          <w:i/>
          <w:iCs/>
        </w:rPr>
        <w:t>s</w:t>
      </w:r>
      <w:r w:rsidR="00E954EA">
        <w:rPr>
          <w:rFonts w:ascii="Bookman Old Style" w:hAnsi="Bookman Old Style" w:cs="Arial"/>
          <w:i/>
          <w:iCs/>
        </w:rPr>
        <w:t xml:space="preserve"> </w:t>
      </w:r>
      <w:r w:rsidR="007D1CB8">
        <w:rPr>
          <w:rFonts w:ascii="Bookman Old Style" w:hAnsi="Bookman Old Style" w:cs="Arial"/>
          <w:i/>
          <w:iCs/>
        </w:rPr>
        <w:t xml:space="preserve">para </w:t>
      </w:r>
      <w:r w:rsidRPr="00294B8B">
        <w:rPr>
          <w:rFonts w:ascii="Bookman Old Style" w:hAnsi="Bookman Old Style" w:cs="Arial"/>
          <w:i/>
          <w:iCs/>
        </w:rPr>
        <w:t>usuario</w:t>
      </w:r>
      <w:r w:rsidR="00E954EA">
        <w:rPr>
          <w:rFonts w:ascii="Bookman Old Style" w:hAnsi="Bookman Old Style" w:cs="Arial"/>
          <w:i/>
          <w:iCs/>
        </w:rPr>
        <w:t xml:space="preserve">s </w:t>
      </w:r>
      <w:r w:rsidRPr="00294B8B">
        <w:rPr>
          <w:rFonts w:ascii="Bookman Old Style" w:hAnsi="Bookman Old Style" w:cs="Arial"/>
          <w:i/>
          <w:iCs/>
        </w:rPr>
        <w:t>nuevo</w:t>
      </w:r>
      <w:r w:rsidR="00681D9D">
        <w:rPr>
          <w:rFonts w:ascii="Bookman Old Style" w:hAnsi="Bookman Old Style" w:cs="Arial"/>
          <w:i/>
          <w:iCs/>
        </w:rPr>
        <w:t>s</w:t>
      </w:r>
      <w:r w:rsidRPr="00294B8B">
        <w:rPr>
          <w:rFonts w:ascii="Bookman Old Style" w:hAnsi="Bookman Old Style" w:cs="Arial"/>
          <w:i/>
          <w:iCs/>
        </w:rPr>
        <w:t>,</w:t>
      </w:r>
      <w:r w:rsidR="00681D9D">
        <w:rPr>
          <w:rFonts w:ascii="Bookman Old Style" w:hAnsi="Bookman Old Style" w:cs="Arial"/>
          <w:i/>
          <w:iCs/>
        </w:rPr>
        <w:t xml:space="preserve"> o que tengan menos información de facturación de la indicada, es decir,</w:t>
      </w:r>
      <w:r w:rsidRPr="00294B8B">
        <w:rPr>
          <w:rFonts w:ascii="Bookman Old Style" w:hAnsi="Bookman Old Style" w:cs="Arial"/>
          <w:i/>
          <w:iCs/>
        </w:rPr>
        <w:t xml:space="preserve"> doce (12) periodos de consumo en caso de facturación mensual</w:t>
      </w:r>
      <w:r w:rsidR="007D1CB8">
        <w:rPr>
          <w:rFonts w:ascii="Bookman Old Style" w:hAnsi="Bookman Old Style" w:cs="Arial"/>
          <w:i/>
          <w:iCs/>
        </w:rPr>
        <w:t>,</w:t>
      </w:r>
      <w:r w:rsidRPr="00294B8B">
        <w:rPr>
          <w:rFonts w:ascii="Bookman Old Style" w:hAnsi="Bookman Old Style" w:cs="Arial"/>
          <w:i/>
          <w:iCs/>
        </w:rPr>
        <w:t xml:space="preserve"> (6) en caso de </w:t>
      </w:r>
      <w:r w:rsidR="007C6C69" w:rsidRPr="00294B8B">
        <w:rPr>
          <w:rFonts w:ascii="Bookman Old Style" w:hAnsi="Bookman Old Style" w:cs="Arial"/>
          <w:i/>
          <w:iCs/>
        </w:rPr>
        <w:t>bime</w:t>
      </w:r>
      <w:r w:rsidR="007C6C69">
        <w:rPr>
          <w:rFonts w:ascii="Bookman Old Style" w:hAnsi="Bookman Old Style" w:cs="Arial"/>
          <w:i/>
          <w:iCs/>
        </w:rPr>
        <w:t>stral</w:t>
      </w:r>
      <w:r w:rsidR="007D1CB8">
        <w:rPr>
          <w:rFonts w:ascii="Bookman Old Style" w:hAnsi="Bookman Old Style" w:cs="Arial"/>
          <w:i/>
          <w:iCs/>
        </w:rPr>
        <w:t xml:space="preserve"> o cuatro (4) en el caso de trimestral</w:t>
      </w:r>
      <w:r w:rsidRPr="00294B8B">
        <w:rPr>
          <w:rFonts w:ascii="Bookman Old Style" w:hAnsi="Bookman Old Style" w:cs="Arial"/>
          <w:i/>
          <w:iCs/>
        </w:rPr>
        <w:t xml:space="preserve">. </w:t>
      </w:r>
    </w:p>
    <w:p w14:paraId="165F612B" w14:textId="4D09540D" w:rsidR="001F76C7" w:rsidRDefault="00E954EA" w:rsidP="00090016">
      <w:pPr>
        <w:tabs>
          <w:tab w:val="left" w:pos="1701"/>
        </w:tabs>
        <w:spacing w:before="240" w:after="240"/>
        <w:ind w:left="426"/>
        <w:jc w:val="both"/>
        <w:rPr>
          <w:rFonts w:ascii="Bookman Old Style" w:hAnsi="Bookman Old Style" w:cs="Arial"/>
          <w:i/>
          <w:iCs/>
        </w:rPr>
      </w:pPr>
      <w:r w:rsidRPr="005632B5">
        <w:rPr>
          <w:rFonts w:ascii="Bookman Old Style" w:hAnsi="Bookman Old Style" w:cs="Arial"/>
          <w:i/>
          <w:iCs/>
        </w:rPr>
        <w:t xml:space="preserve">En estos casos, la empresa </w:t>
      </w:r>
      <w:r w:rsidR="00695976" w:rsidRPr="005632B5">
        <w:rPr>
          <w:rFonts w:ascii="Bookman Old Style" w:hAnsi="Bookman Old Style" w:cs="Arial"/>
          <w:i/>
          <w:iCs/>
        </w:rPr>
        <w:t xml:space="preserve">podrá hacer </w:t>
      </w:r>
      <w:r w:rsidR="001F76C7" w:rsidRPr="005632B5">
        <w:rPr>
          <w:rFonts w:ascii="Bookman Old Style" w:hAnsi="Bookman Old Style" w:cs="Arial"/>
          <w:i/>
          <w:iCs/>
        </w:rPr>
        <w:t xml:space="preserve">el análisis y </w:t>
      </w:r>
      <w:r w:rsidRPr="005632B5">
        <w:rPr>
          <w:rFonts w:ascii="Bookman Old Style" w:hAnsi="Bookman Old Style" w:cs="Arial"/>
          <w:i/>
          <w:iCs/>
        </w:rPr>
        <w:t xml:space="preserve">la </w:t>
      </w:r>
      <w:r w:rsidR="001F76C7" w:rsidRPr="005632B5">
        <w:rPr>
          <w:rFonts w:ascii="Bookman Old Style" w:hAnsi="Bookman Old Style" w:cs="Arial"/>
          <w:i/>
          <w:iCs/>
        </w:rPr>
        <w:t>verificación por la variación de consumos</w:t>
      </w:r>
      <w:r w:rsidRPr="005632B5">
        <w:rPr>
          <w:rFonts w:ascii="Bookman Old Style" w:hAnsi="Bookman Old Style" w:cs="Arial"/>
          <w:i/>
          <w:iCs/>
        </w:rPr>
        <w:t>,</w:t>
      </w:r>
      <w:r w:rsidR="001F76C7" w:rsidRPr="005632B5">
        <w:rPr>
          <w:rFonts w:ascii="Bookman Old Style" w:hAnsi="Bookman Old Style" w:cs="Arial"/>
          <w:i/>
          <w:iCs/>
        </w:rPr>
        <w:t xml:space="preserve"> ya sea por iniciativa propia o por solicitud </w:t>
      </w:r>
      <w:r w:rsidR="002F79F9" w:rsidRPr="005632B5">
        <w:rPr>
          <w:rFonts w:ascii="Bookman Old Style" w:hAnsi="Bookman Old Style" w:cs="Arial"/>
          <w:i/>
          <w:iCs/>
        </w:rPr>
        <w:t xml:space="preserve">directa </w:t>
      </w:r>
      <w:r w:rsidR="001F76C7" w:rsidRPr="005632B5">
        <w:rPr>
          <w:rFonts w:ascii="Bookman Old Style" w:hAnsi="Bookman Old Style" w:cs="Arial"/>
          <w:i/>
          <w:iCs/>
        </w:rPr>
        <w:t>del usuario.</w:t>
      </w:r>
    </w:p>
    <w:p w14:paraId="641F60BF" w14:textId="3B9B4E43" w:rsidR="001F76C7" w:rsidRDefault="001F76C7" w:rsidP="00090016">
      <w:pPr>
        <w:tabs>
          <w:tab w:val="left" w:pos="1701"/>
        </w:tabs>
        <w:spacing w:before="240" w:after="240"/>
        <w:ind w:left="426"/>
        <w:jc w:val="both"/>
        <w:rPr>
          <w:rFonts w:ascii="Bookman Old Style" w:hAnsi="Bookman Old Style" w:cs="Arial"/>
          <w:i/>
          <w:iCs/>
        </w:rPr>
      </w:pPr>
      <w:r>
        <w:rPr>
          <w:rFonts w:ascii="Bookman Old Style" w:hAnsi="Bookman Old Style" w:cs="Arial"/>
          <w:i/>
          <w:iCs/>
        </w:rPr>
        <w:t xml:space="preserve">Parágrafo 4. </w:t>
      </w:r>
      <w:r w:rsidRPr="00574109">
        <w:rPr>
          <w:rFonts w:ascii="Bookman Old Style" w:hAnsi="Bookman Old Style" w:cs="Arial"/>
          <w:i/>
        </w:rPr>
        <w:t xml:space="preserve">Las empresas prestadoras de los servicios públicos deberán </w:t>
      </w:r>
      <w:r>
        <w:rPr>
          <w:rFonts w:ascii="Bookman Old Style" w:hAnsi="Bookman Old Style" w:cs="Arial"/>
          <w:i/>
        </w:rPr>
        <w:t>reportar al Sistema Único de Información – SUI de la Superintendencia de Servicios Públicos Domiciliarios</w:t>
      </w:r>
      <w:r w:rsidR="00B0718C">
        <w:rPr>
          <w:rFonts w:ascii="Bookman Old Style" w:hAnsi="Bookman Old Style" w:cs="Arial"/>
          <w:i/>
        </w:rPr>
        <w:t>,</w:t>
      </w:r>
      <w:r w:rsidR="00681D9D">
        <w:rPr>
          <w:rFonts w:ascii="Bookman Old Style" w:hAnsi="Bookman Old Style" w:cs="Arial"/>
          <w:i/>
        </w:rPr>
        <w:t xml:space="preserve"> por los medios que esta entidad disponga,</w:t>
      </w:r>
      <w:r>
        <w:rPr>
          <w:rFonts w:ascii="Bookman Old Style" w:hAnsi="Bookman Old Style" w:cs="Arial"/>
          <w:i/>
        </w:rPr>
        <w:t xml:space="preserve"> la información </w:t>
      </w:r>
      <w:r w:rsidR="00B0718C">
        <w:rPr>
          <w:rFonts w:ascii="Bookman Old Style" w:hAnsi="Bookman Old Style" w:cs="Arial"/>
          <w:i/>
        </w:rPr>
        <w:t>relacionada con</w:t>
      </w:r>
      <w:r>
        <w:rPr>
          <w:rFonts w:ascii="Bookman Old Style" w:hAnsi="Bookman Old Style" w:cs="Arial"/>
          <w:i/>
        </w:rPr>
        <w:t xml:space="preserve"> las investigaciones de </w:t>
      </w:r>
      <w:r w:rsidRPr="00574109">
        <w:rPr>
          <w:rFonts w:ascii="Bookman Old Style" w:hAnsi="Bookman Old Style" w:cs="Arial"/>
          <w:i/>
        </w:rPr>
        <w:t xml:space="preserve">las desviaciones significativas presentadas </w:t>
      </w:r>
      <w:r>
        <w:rPr>
          <w:rFonts w:ascii="Bookman Old Style" w:hAnsi="Bookman Old Style" w:cs="Arial"/>
          <w:i/>
        </w:rPr>
        <w:t xml:space="preserve">y correspondiente </w:t>
      </w:r>
      <w:r w:rsidR="00404595">
        <w:rPr>
          <w:rFonts w:ascii="Bookman Old Style" w:hAnsi="Bookman Old Style" w:cs="Arial"/>
          <w:i/>
        </w:rPr>
        <w:t xml:space="preserve">entre otra </w:t>
      </w:r>
      <w:r>
        <w:rPr>
          <w:rFonts w:ascii="Bookman Old Style" w:hAnsi="Bookman Old Style" w:cs="Arial"/>
          <w:i/>
        </w:rPr>
        <w:t>a</w:t>
      </w:r>
      <w:r w:rsidRPr="00574109">
        <w:rPr>
          <w:rFonts w:ascii="Bookman Old Style" w:hAnsi="Bookman Old Style" w:cs="Arial"/>
          <w:i/>
        </w:rPr>
        <w:t>: i) cantidad de investigaciones adelantadas, ii) causas que las generaron (</w:t>
      </w:r>
      <w:r w:rsidR="00B0718C">
        <w:rPr>
          <w:rFonts w:ascii="Bookman Old Style" w:hAnsi="Bookman Old Style" w:cs="Arial"/>
          <w:i/>
        </w:rPr>
        <w:t>p.</w:t>
      </w:r>
      <w:r w:rsidRPr="00574109">
        <w:rPr>
          <w:rFonts w:ascii="Bookman Old Style" w:hAnsi="Bookman Old Style" w:cs="Arial"/>
          <w:i/>
        </w:rPr>
        <w:t>ej. consumos reales, error de lectura,</w:t>
      </w:r>
      <w:r>
        <w:rPr>
          <w:rFonts w:ascii="Bookman Old Style" w:hAnsi="Bookman Old Style" w:cs="Arial"/>
          <w:i/>
        </w:rPr>
        <w:t xml:space="preserve"> error de medición,</w:t>
      </w:r>
      <w:r w:rsidRPr="00574109">
        <w:rPr>
          <w:rFonts w:ascii="Bookman Old Style" w:hAnsi="Bookman Old Style" w:cs="Arial"/>
          <w:i/>
        </w:rPr>
        <w:t xml:space="preserve"> falla en la instalación); iii) </w:t>
      </w:r>
      <w:r>
        <w:rPr>
          <w:rFonts w:ascii="Bookman Old Style" w:hAnsi="Bookman Old Style" w:cs="Arial"/>
          <w:i/>
        </w:rPr>
        <w:t>consumos y porcentajes</w:t>
      </w:r>
      <w:r w:rsidRPr="00574109">
        <w:rPr>
          <w:rFonts w:ascii="Bookman Old Style" w:hAnsi="Bookman Old Style" w:cs="Arial"/>
          <w:i/>
        </w:rPr>
        <w:t xml:space="preserve"> de las desviaciones, </w:t>
      </w:r>
      <w:r w:rsidR="00423152">
        <w:rPr>
          <w:rFonts w:ascii="Bookman Old Style" w:hAnsi="Bookman Old Style" w:cs="Arial"/>
          <w:i/>
        </w:rPr>
        <w:t xml:space="preserve">iv) </w:t>
      </w:r>
      <w:r>
        <w:rPr>
          <w:rFonts w:ascii="Bookman Old Style" w:hAnsi="Bookman Old Style" w:cs="Arial"/>
          <w:i/>
        </w:rPr>
        <w:t>número de investigaciones</w:t>
      </w:r>
      <w:r w:rsidRPr="00574109">
        <w:rPr>
          <w:rFonts w:ascii="Bookman Old Style" w:hAnsi="Bookman Old Style" w:cs="Arial"/>
          <w:i/>
        </w:rPr>
        <w:t xml:space="preserve"> por tipos de usuarios y </w:t>
      </w:r>
      <w:r w:rsidR="00423152">
        <w:rPr>
          <w:rFonts w:ascii="Bookman Old Style" w:hAnsi="Bookman Old Style" w:cs="Arial"/>
          <w:i/>
        </w:rPr>
        <w:t xml:space="preserve">v) </w:t>
      </w:r>
      <w:r>
        <w:rPr>
          <w:rFonts w:ascii="Bookman Old Style" w:hAnsi="Bookman Old Style" w:cs="Arial"/>
          <w:i/>
        </w:rPr>
        <w:t>resultado final de las investigaciones</w:t>
      </w:r>
      <w:r w:rsidRPr="00574109">
        <w:rPr>
          <w:rFonts w:ascii="Bookman Old Style" w:hAnsi="Bookman Old Style" w:cs="Arial"/>
          <w:i/>
        </w:rPr>
        <w:t>.</w:t>
      </w:r>
      <w:r>
        <w:rPr>
          <w:rFonts w:ascii="Bookman Old Style" w:hAnsi="Bookman Old Style" w:cs="Arial"/>
          <w:i/>
        </w:rPr>
        <w:t xml:space="preserve"> La información debe indicar el </w:t>
      </w:r>
      <w:r w:rsidR="00681D9D">
        <w:rPr>
          <w:rFonts w:ascii="Bookman Old Style" w:hAnsi="Bookman Old Style" w:cs="Arial"/>
          <w:i/>
        </w:rPr>
        <w:t xml:space="preserve">Número de Identificación del Usuario, </w:t>
      </w:r>
      <w:r>
        <w:rPr>
          <w:rFonts w:ascii="Bookman Old Style" w:hAnsi="Bookman Old Style" w:cs="Arial"/>
          <w:i/>
        </w:rPr>
        <w:t>NIU</w:t>
      </w:r>
      <w:r w:rsidR="007D1CB8">
        <w:rPr>
          <w:rFonts w:ascii="Bookman Old Style" w:hAnsi="Bookman Old Style" w:cs="Arial"/>
          <w:i/>
        </w:rPr>
        <w:t>,</w:t>
      </w:r>
      <w:r>
        <w:rPr>
          <w:rFonts w:ascii="Bookman Old Style" w:hAnsi="Bookman Old Style" w:cs="Arial"/>
          <w:i/>
        </w:rPr>
        <w:t xml:space="preserve"> para poder cruzar la información con el maestro de facturación</w:t>
      </w:r>
      <w:r w:rsidRPr="005262C3">
        <w:rPr>
          <w:rFonts w:ascii="Bookman Old Style" w:hAnsi="Bookman Old Style" w:cs="Arial"/>
          <w:i/>
          <w:iCs/>
        </w:rPr>
        <w:t>.</w:t>
      </w:r>
      <w:r>
        <w:rPr>
          <w:rFonts w:ascii="Bookman Old Style" w:hAnsi="Bookman Old Style" w:cs="Arial"/>
          <w:i/>
          <w:iCs/>
        </w:rPr>
        <w:t xml:space="preserve"> </w:t>
      </w:r>
      <w:r w:rsidR="002228EF">
        <w:rPr>
          <w:rFonts w:ascii="Bookman Old Style" w:hAnsi="Bookman Old Style" w:cs="Arial"/>
          <w:i/>
          <w:iCs/>
        </w:rPr>
        <w:t xml:space="preserve">Así mismo, </w:t>
      </w:r>
      <w:r w:rsidR="00404595">
        <w:rPr>
          <w:rFonts w:ascii="Bookman Old Style" w:hAnsi="Bookman Old Style" w:cs="Arial"/>
          <w:i/>
          <w:iCs/>
        </w:rPr>
        <w:t xml:space="preserve">se </w:t>
      </w:r>
      <w:r w:rsidR="002228EF">
        <w:rPr>
          <w:rFonts w:ascii="Bookman Old Style" w:hAnsi="Bookman Old Style" w:cs="Arial"/>
          <w:i/>
          <w:iCs/>
        </w:rPr>
        <w:t>deberá reportar los usuarios con consumos</w:t>
      </w:r>
      <w:r w:rsidR="00DA48FA">
        <w:rPr>
          <w:rFonts w:ascii="Bookman Old Style" w:hAnsi="Bookman Old Style" w:cs="Arial"/>
          <w:i/>
          <w:iCs/>
        </w:rPr>
        <w:t xml:space="preserve"> estacionales conforme a lo dispuesto en el par</w:t>
      </w:r>
      <w:r w:rsidR="009C4799">
        <w:rPr>
          <w:rFonts w:ascii="Bookman Old Style" w:hAnsi="Bookman Old Style" w:cs="Arial"/>
          <w:i/>
          <w:iCs/>
        </w:rPr>
        <w:t>ágrafo 5 de este artículo.</w:t>
      </w:r>
    </w:p>
    <w:p w14:paraId="12CF0FFC" w14:textId="58BC4342" w:rsidR="00E002BC" w:rsidRDefault="001F76C7" w:rsidP="00090016">
      <w:pPr>
        <w:tabs>
          <w:tab w:val="left" w:pos="1701"/>
        </w:tabs>
        <w:spacing w:before="240" w:after="240"/>
        <w:ind w:left="426"/>
        <w:jc w:val="both"/>
        <w:rPr>
          <w:rFonts w:ascii="Bookman Old Style" w:hAnsi="Bookman Old Style" w:cs="Arial"/>
          <w:i/>
          <w:iCs/>
        </w:rPr>
      </w:pPr>
      <w:r w:rsidRPr="00332027">
        <w:rPr>
          <w:rFonts w:ascii="Bookman Old Style" w:hAnsi="Bookman Old Style" w:cs="Arial"/>
          <w:i/>
          <w:iCs/>
        </w:rPr>
        <w:t xml:space="preserve">Parágrafo </w:t>
      </w:r>
      <w:r>
        <w:rPr>
          <w:rFonts w:ascii="Bookman Old Style" w:hAnsi="Bookman Old Style" w:cs="Arial"/>
          <w:i/>
          <w:iCs/>
        </w:rPr>
        <w:t>5</w:t>
      </w:r>
      <w:r w:rsidRPr="00332027">
        <w:rPr>
          <w:rFonts w:ascii="Bookman Old Style" w:hAnsi="Bookman Old Style" w:cs="Arial"/>
          <w:i/>
          <w:iCs/>
        </w:rPr>
        <w:t>º. La</w:t>
      </w:r>
      <w:r w:rsidR="00681D9D">
        <w:rPr>
          <w:rFonts w:ascii="Bookman Old Style" w:hAnsi="Bookman Old Style" w:cs="Arial"/>
          <w:i/>
          <w:iCs/>
        </w:rPr>
        <w:t>s</w:t>
      </w:r>
      <w:r w:rsidRPr="00332027">
        <w:rPr>
          <w:rFonts w:ascii="Bookman Old Style" w:hAnsi="Bookman Old Style" w:cs="Arial"/>
          <w:i/>
          <w:iCs/>
        </w:rPr>
        <w:t xml:space="preserve"> </w:t>
      </w:r>
      <w:r w:rsidR="00681D9D">
        <w:rPr>
          <w:rFonts w:ascii="Bookman Old Style" w:hAnsi="Bookman Old Style" w:cs="Arial"/>
          <w:i/>
          <w:iCs/>
        </w:rPr>
        <w:t>e</w:t>
      </w:r>
      <w:r w:rsidR="00681D9D" w:rsidRPr="00332027">
        <w:rPr>
          <w:rFonts w:ascii="Bookman Old Style" w:hAnsi="Bookman Old Style" w:cs="Arial"/>
          <w:i/>
          <w:iCs/>
        </w:rPr>
        <w:t>mpresa</w:t>
      </w:r>
      <w:r w:rsidR="00681D9D">
        <w:rPr>
          <w:rFonts w:ascii="Bookman Old Style" w:hAnsi="Bookman Old Style" w:cs="Arial"/>
          <w:i/>
          <w:iCs/>
        </w:rPr>
        <w:t>s prestadoras de servicios públicos</w:t>
      </w:r>
      <w:r w:rsidRPr="00332027">
        <w:rPr>
          <w:rFonts w:ascii="Bookman Old Style" w:hAnsi="Bookman Old Style" w:cs="Arial"/>
          <w:i/>
          <w:iCs/>
        </w:rPr>
        <w:t xml:space="preserve"> deberá</w:t>
      </w:r>
      <w:r w:rsidR="00681D9D">
        <w:rPr>
          <w:rFonts w:ascii="Bookman Old Style" w:hAnsi="Bookman Old Style" w:cs="Arial"/>
          <w:i/>
          <w:iCs/>
        </w:rPr>
        <w:t>n</w:t>
      </w:r>
      <w:r w:rsidRPr="00332027">
        <w:rPr>
          <w:rFonts w:ascii="Bookman Old Style" w:hAnsi="Bookman Old Style" w:cs="Arial"/>
          <w:i/>
          <w:iCs/>
        </w:rPr>
        <w:t xml:space="preserve"> </w:t>
      </w:r>
      <w:r>
        <w:rPr>
          <w:rFonts w:ascii="Bookman Old Style" w:hAnsi="Bookman Old Style" w:cs="Arial"/>
          <w:i/>
          <w:iCs/>
        </w:rPr>
        <w:t>establecer una base de datos donde se tengan</w:t>
      </w:r>
      <w:r w:rsidRPr="00332027">
        <w:rPr>
          <w:rFonts w:ascii="Bookman Old Style" w:hAnsi="Bookman Old Style" w:cs="Arial"/>
          <w:i/>
          <w:iCs/>
        </w:rPr>
        <w:t xml:space="preserve"> identificados</w:t>
      </w:r>
      <w:r w:rsidR="002F79F9">
        <w:rPr>
          <w:rFonts w:ascii="Bookman Old Style" w:hAnsi="Bookman Old Style" w:cs="Arial"/>
          <w:i/>
          <w:iCs/>
        </w:rPr>
        <w:t xml:space="preserve"> y caracterizados</w:t>
      </w:r>
      <w:r>
        <w:rPr>
          <w:rFonts w:ascii="Bookman Old Style" w:hAnsi="Bookman Old Style" w:cs="Arial"/>
          <w:i/>
          <w:iCs/>
        </w:rPr>
        <w:t xml:space="preserve"> </w:t>
      </w:r>
      <w:r w:rsidRPr="00332027">
        <w:rPr>
          <w:rFonts w:ascii="Bookman Old Style" w:hAnsi="Bookman Old Style" w:cs="Arial"/>
          <w:i/>
          <w:iCs/>
        </w:rPr>
        <w:t>los usuarios con consumos estacionales</w:t>
      </w:r>
      <w:r>
        <w:rPr>
          <w:rFonts w:ascii="Bookman Old Style" w:hAnsi="Bookman Old Style" w:cs="Arial"/>
          <w:i/>
          <w:iCs/>
        </w:rPr>
        <w:t xml:space="preserve">, </w:t>
      </w:r>
      <w:r w:rsidRPr="00332027">
        <w:rPr>
          <w:rFonts w:ascii="Bookman Old Style" w:hAnsi="Bookman Old Style" w:cs="Arial"/>
          <w:i/>
          <w:iCs/>
        </w:rPr>
        <w:t>los cuales corresponde</w:t>
      </w:r>
      <w:r>
        <w:rPr>
          <w:rFonts w:ascii="Bookman Old Style" w:hAnsi="Bookman Old Style" w:cs="Arial"/>
          <w:i/>
          <w:iCs/>
        </w:rPr>
        <w:t xml:space="preserve">rán a aquellos que presentan patrones de consumo diferentes en determinados periodos de un mismo año. En estos casos la empresa no tendrá la obligación de hacer la investigación por </w:t>
      </w:r>
      <w:r w:rsidR="0072629B">
        <w:rPr>
          <w:rFonts w:ascii="Bookman Old Style" w:hAnsi="Bookman Old Style" w:cs="Arial"/>
          <w:i/>
          <w:iCs/>
        </w:rPr>
        <w:t xml:space="preserve">desviaciones </w:t>
      </w:r>
      <w:r>
        <w:rPr>
          <w:rFonts w:ascii="Bookman Old Style" w:hAnsi="Bookman Old Style" w:cs="Arial"/>
          <w:i/>
          <w:iCs/>
        </w:rPr>
        <w:t>significativa</w:t>
      </w:r>
      <w:r w:rsidR="0072629B">
        <w:rPr>
          <w:rFonts w:ascii="Bookman Old Style" w:hAnsi="Bookman Old Style" w:cs="Arial"/>
          <w:i/>
          <w:iCs/>
        </w:rPr>
        <w:t>s</w:t>
      </w:r>
      <w:r>
        <w:rPr>
          <w:rFonts w:ascii="Bookman Old Style" w:hAnsi="Bookman Old Style" w:cs="Arial"/>
          <w:i/>
          <w:iCs/>
        </w:rPr>
        <w:t xml:space="preserve"> conforme al mecanismo indicado con anterioridad a menos que el usuario lo solicite o que la empresa lo encuentre necesario.</w:t>
      </w:r>
    </w:p>
    <w:p w14:paraId="22CF6D15" w14:textId="19D01FEE" w:rsidR="001F76C7" w:rsidRPr="00332027" w:rsidRDefault="00E002BC" w:rsidP="00090016">
      <w:pPr>
        <w:tabs>
          <w:tab w:val="left" w:pos="1701"/>
        </w:tabs>
        <w:spacing w:before="240" w:after="240"/>
        <w:ind w:left="426"/>
        <w:jc w:val="both"/>
        <w:rPr>
          <w:rFonts w:ascii="Bookman Old Style" w:hAnsi="Bookman Old Style" w:cs="Arial"/>
          <w:i/>
          <w:iCs/>
        </w:rPr>
      </w:pPr>
      <w:r>
        <w:rPr>
          <w:rFonts w:ascii="Bookman Old Style" w:hAnsi="Bookman Old Style" w:cs="Arial"/>
          <w:i/>
          <w:iCs/>
        </w:rPr>
        <w:t xml:space="preserve">El usuario </w:t>
      </w:r>
      <w:r w:rsidR="007D1CB8" w:rsidRPr="0022607B">
        <w:rPr>
          <w:rFonts w:ascii="Bookman Old Style" w:hAnsi="Bookman Old Style" w:cs="Arial"/>
          <w:i/>
          <w:iCs/>
        </w:rPr>
        <w:t>podrá</w:t>
      </w:r>
      <w:r w:rsidR="007D1CB8">
        <w:rPr>
          <w:rFonts w:ascii="Bookman Old Style" w:hAnsi="Bookman Old Style" w:cs="Arial"/>
          <w:i/>
          <w:iCs/>
        </w:rPr>
        <w:t xml:space="preserve"> </w:t>
      </w:r>
      <w:r>
        <w:rPr>
          <w:rFonts w:ascii="Bookman Old Style" w:hAnsi="Bookman Old Style" w:cs="Arial"/>
          <w:i/>
          <w:iCs/>
        </w:rPr>
        <w:t>informar a la empresa de servicios públicos la caracterización de usuario con consumo estacional para que se</w:t>
      </w:r>
      <w:r w:rsidR="007D1CB8">
        <w:rPr>
          <w:rFonts w:ascii="Bookman Old Style" w:hAnsi="Bookman Old Style" w:cs="Arial"/>
          <w:i/>
          <w:iCs/>
        </w:rPr>
        <w:t>a</w:t>
      </w:r>
      <w:r>
        <w:rPr>
          <w:rFonts w:ascii="Bookman Old Style" w:hAnsi="Bookman Old Style" w:cs="Arial"/>
          <w:i/>
          <w:iCs/>
        </w:rPr>
        <w:t xml:space="preserve"> incluido dentro de la base de datos</w:t>
      </w:r>
      <w:r w:rsidR="00404595">
        <w:rPr>
          <w:rFonts w:ascii="Bookman Old Style" w:hAnsi="Bookman Old Style" w:cs="Arial"/>
          <w:i/>
          <w:iCs/>
        </w:rPr>
        <w:t xml:space="preserve"> o novedades en su consumo</w:t>
      </w:r>
      <w:r w:rsidR="007B7AC6">
        <w:rPr>
          <w:rFonts w:ascii="Bookman Old Style" w:hAnsi="Bookman Old Style" w:cs="Arial"/>
          <w:i/>
          <w:iCs/>
        </w:rPr>
        <w:t xml:space="preserve">. </w:t>
      </w:r>
      <w:r>
        <w:rPr>
          <w:rFonts w:ascii="Bookman Old Style" w:hAnsi="Bookman Old Style" w:cs="Arial"/>
          <w:i/>
          <w:iCs/>
        </w:rPr>
        <w:t xml:space="preserve"> </w:t>
      </w:r>
      <w:r w:rsidR="007B7AC6">
        <w:rPr>
          <w:rFonts w:ascii="Bookman Old Style" w:hAnsi="Bookman Old Style" w:cs="Arial"/>
          <w:i/>
          <w:iCs/>
        </w:rPr>
        <w:t>P</w:t>
      </w:r>
      <w:r>
        <w:rPr>
          <w:rFonts w:ascii="Bookman Old Style" w:hAnsi="Bookman Old Style" w:cs="Arial"/>
          <w:i/>
          <w:iCs/>
        </w:rPr>
        <w:t xml:space="preserve">ara tal fin la empresa dispondrá en su página web </w:t>
      </w:r>
      <w:r w:rsidR="007D1CB8">
        <w:rPr>
          <w:rFonts w:ascii="Bookman Old Style" w:hAnsi="Bookman Old Style" w:cs="Arial"/>
          <w:i/>
          <w:iCs/>
        </w:rPr>
        <w:t xml:space="preserve">de </w:t>
      </w:r>
      <w:r>
        <w:rPr>
          <w:rFonts w:ascii="Bookman Old Style" w:hAnsi="Bookman Old Style" w:cs="Arial"/>
          <w:i/>
          <w:iCs/>
        </w:rPr>
        <w:t xml:space="preserve">un formato donde el usuario pueda </w:t>
      </w:r>
      <w:r w:rsidR="007D1CB8">
        <w:rPr>
          <w:rFonts w:ascii="Bookman Old Style" w:hAnsi="Bookman Old Style" w:cs="Arial"/>
          <w:i/>
          <w:iCs/>
        </w:rPr>
        <w:t>registrar esta novedad.</w:t>
      </w:r>
      <w:r w:rsidR="00090016">
        <w:rPr>
          <w:rFonts w:ascii="Bookman Old Style" w:hAnsi="Bookman Old Style" w:cs="Arial"/>
          <w:i/>
          <w:iCs/>
        </w:rPr>
        <w:t>”</w:t>
      </w:r>
    </w:p>
    <w:p w14:paraId="75ACE70B" w14:textId="07875820" w:rsidR="001F76C7" w:rsidRDefault="001F76C7" w:rsidP="001F76C7">
      <w:pPr>
        <w:numPr>
          <w:ilvl w:val="0"/>
          <w:numId w:val="7"/>
        </w:numPr>
        <w:tabs>
          <w:tab w:val="left" w:pos="1701"/>
          <w:tab w:val="num" w:pos="2150"/>
        </w:tabs>
        <w:spacing w:before="240" w:after="240"/>
        <w:ind w:left="142"/>
        <w:jc w:val="both"/>
        <w:rPr>
          <w:rFonts w:ascii="Bookman Old Style" w:hAnsi="Bookman Old Style" w:cs="Arial"/>
        </w:rPr>
      </w:pPr>
      <w:r>
        <w:rPr>
          <w:rFonts w:ascii="Bookman Old Style" w:hAnsi="Bookman Old Style" w:cs="Arial"/>
        </w:rPr>
        <w:t>Modifíquese de forma transitoria el artículo 38 de la Resolución CREG 108 de 1997 así:</w:t>
      </w:r>
    </w:p>
    <w:p w14:paraId="4606EAF7" w14:textId="5F826DEA" w:rsidR="001F76C7" w:rsidRDefault="001F76C7" w:rsidP="007B7AC6">
      <w:pPr>
        <w:tabs>
          <w:tab w:val="left" w:pos="1701"/>
        </w:tabs>
        <w:spacing w:before="240" w:after="240"/>
        <w:ind w:left="426"/>
        <w:jc w:val="both"/>
        <w:rPr>
          <w:rFonts w:ascii="Bookman Old Style" w:hAnsi="Bookman Old Style"/>
          <w:i/>
          <w:iCs/>
          <w:shd w:val="clear" w:color="auto" w:fill="FFFFFF"/>
        </w:rPr>
      </w:pPr>
      <w:r w:rsidRPr="007E4D94">
        <w:rPr>
          <w:rFonts w:ascii="Bookman Old Style" w:hAnsi="Bookman Old Style" w:cs="Arial"/>
          <w:b/>
          <w:bCs/>
          <w:i/>
          <w:iCs/>
          <w:shd w:val="clear" w:color="auto" w:fill="FFFFFF"/>
        </w:rPr>
        <w:t>“Artículo 38º. Facturación en caso de desviaciones significativas. </w:t>
      </w:r>
      <w:r w:rsidRPr="007E4D94">
        <w:rPr>
          <w:rFonts w:ascii="Bookman Old Style" w:hAnsi="Bookman Old Style"/>
          <w:i/>
          <w:iCs/>
          <w:shd w:val="clear" w:color="auto" w:fill="FFFFFF"/>
        </w:rPr>
        <w:t>Mientras se establece la causa de</w:t>
      </w:r>
      <w:r w:rsidR="00681D9D">
        <w:rPr>
          <w:rFonts w:ascii="Bookman Old Style" w:hAnsi="Bookman Old Style"/>
          <w:i/>
          <w:iCs/>
          <w:shd w:val="clear" w:color="auto" w:fill="FFFFFF"/>
        </w:rPr>
        <w:t xml:space="preserve"> la</w:t>
      </w:r>
      <w:r w:rsidRPr="007E4D94">
        <w:rPr>
          <w:rFonts w:ascii="Bookman Old Style" w:hAnsi="Bookman Old Style"/>
          <w:i/>
          <w:iCs/>
          <w:shd w:val="clear" w:color="auto" w:fill="FFFFFF"/>
        </w:rPr>
        <w:t xml:space="preserve"> desviación del consumo</w:t>
      </w:r>
      <w:r>
        <w:rPr>
          <w:rFonts w:ascii="Bookman Old Style" w:hAnsi="Bookman Old Style"/>
          <w:i/>
          <w:iCs/>
          <w:shd w:val="clear" w:color="auto" w:fill="FFFFFF"/>
        </w:rPr>
        <w:t xml:space="preserve"> </w:t>
      </w:r>
      <w:r>
        <w:rPr>
          <w:rFonts w:ascii="Bookman Old Style" w:hAnsi="Bookman Old Style"/>
          <w:i/>
          <w:iCs/>
          <w:shd w:val="clear" w:color="auto" w:fill="FFFFFF"/>
        </w:rPr>
        <w:lastRenderedPageBreak/>
        <w:t>del usuario</w:t>
      </w:r>
      <w:r w:rsidR="00DC6727">
        <w:rPr>
          <w:rFonts w:ascii="Bookman Old Style" w:hAnsi="Bookman Old Style"/>
          <w:i/>
          <w:iCs/>
          <w:shd w:val="clear" w:color="auto" w:fill="FFFFFF"/>
        </w:rPr>
        <w:t>,</w:t>
      </w:r>
      <w:r w:rsidR="00681D9D">
        <w:rPr>
          <w:rFonts w:ascii="Bookman Old Style" w:hAnsi="Bookman Old Style"/>
          <w:i/>
          <w:iCs/>
          <w:shd w:val="clear" w:color="auto" w:fill="FFFFFF"/>
        </w:rPr>
        <w:t xml:space="preserve"> dentro de la investigación</w:t>
      </w:r>
      <w:r>
        <w:rPr>
          <w:rFonts w:ascii="Bookman Old Style" w:hAnsi="Bookman Old Style"/>
          <w:i/>
          <w:iCs/>
          <w:shd w:val="clear" w:color="auto" w:fill="FFFFFF"/>
        </w:rPr>
        <w:t xml:space="preserve"> iniciad</w:t>
      </w:r>
      <w:r w:rsidR="00681D9D">
        <w:rPr>
          <w:rFonts w:ascii="Bookman Old Style" w:hAnsi="Bookman Old Style"/>
          <w:i/>
          <w:iCs/>
          <w:shd w:val="clear" w:color="auto" w:fill="FFFFFF"/>
        </w:rPr>
        <w:t>a</w:t>
      </w:r>
      <w:r>
        <w:rPr>
          <w:rFonts w:ascii="Bookman Old Style" w:hAnsi="Bookman Old Style"/>
          <w:i/>
          <w:iCs/>
          <w:shd w:val="clear" w:color="auto" w:fill="FFFFFF"/>
        </w:rPr>
        <w:t xml:space="preserve"> </w:t>
      </w:r>
      <w:r w:rsidR="00681D9D">
        <w:rPr>
          <w:rFonts w:ascii="Bookman Old Style" w:hAnsi="Bookman Old Style"/>
          <w:i/>
          <w:iCs/>
          <w:shd w:val="clear" w:color="auto" w:fill="FFFFFF"/>
        </w:rPr>
        <w:t xml:space="preserve">de conformidad con el procedimiento </w:t>
      </w:r>
      <w:r>
        <w:rPr>
          <w:rFonts w:ascii="Bookman Old Style" w:hAnsi="Bookman Old Style"/>
          <w:i/>
          <w:iCs/>
          <w:shd w:val="clear" w:color="auto" w:fill="FFFFFF"/>
        </w:rPr>
        <w:t xml:space="preserve">indicado en el </w:t>
      </w:r>
      <w:r w:rsidR="00A04A71">
        <w:rPr>
          <w:rFonts w:ascii="Bookman Old Style" w:hAnsi="Bookman Old Style"/>
          <w:i/>
          <w:iCs/>
          <w:shd w:val="clear" w:color="auto" w:fill="FFFFFF"/>
        </w:rPr>
        <w:t xml:space="preserve">numeral </w:t>
      </w:r>
      <w:r w:rsidR="00A04A71">
        <w:rPr>
          <w:rFonts w:ascii="Bookman Old Style" w:hAnsi="Bookman Old Style"/>
          <w:i/>
          <w:iCs/>
          <w:shd w:val="clear" w:color="auto" w:fill="FFFFFF"/>
        </w:rPr>
        <w:fldChar w:fldCharType="begin"/>
      </w:r>
      <w:r w:rsidR="00A04A71">
        <w:rPr>
          <w:rFonts w:ascii="Bookman Old Style" w:hAnsi="Bookman Old Style"/>
          <w:i/>
          <w:iCs/>
          <w:shd w:val="clear" w:color="auto" w:fill="FFFFFF"/>
        </w:rPr>
        <w:instrText xml:space="preserve"> REF _Ref156575496 \r \h </w:instrText>
      </w:r>
      <w:r w:rsidR="00A04A71">
        <w:rPr>
          <w:rFonts w:ascii="Bookman Old Style" w:hAnsi="Bookman Old Style"/>
          <w:i/>
          <w:iCs/>
          <w:shd w:val="clear" w:color="auto" w:fill="FFFFFF"/>
        </w:rPr>
      </w:r>
      <w:r w:rsidR="00A04A71">
        <w:rPr>
          <w:rFonts w:ascii="Bookman Old Style" w:hAnsi="Bookman Old Style"/>
          <w:i/>
          <w:iCs/>
          <w:shd w:val="clear" w:color="auto" w:fill="FFFFFF"/>
        </w:rPr>
        <w:fldChar w:fldCharType="separate"/>
      </w:r>
      <w:r w:rsidR="009F1A35">
        <w:rPr>
          <w:rFonts w:ascii="Bookman Old Style" w:hAnsi="Bookman Old Style"/>
          <w:i/>
          <w:iCs/>
          <w:shd w:val="clear" w:color="auto" w:fill="FFFFFF"/>
        </w:rPr>
        <w:t>6.1</w:t>
      </w:r>
      <w:r w:rsidR="00A04A71">
        <w:rPr>
          <w:rFonts w:ascii="Bookman Old Style" w:hAnsi="Bookman Old Style"/>
          <w:i/>
          <w:iCs/>
          <w:shd w:val="clear" w:color="auto" w:fill="FFFFFF"/>
        </w:rPr>
        <w:fldChar w:fldCharType="end"/>
      </w:r>
      <w:r w:rsidR="00A04A71">
        <w:rPr>
          <w:rFonts w:ascii="Bookman Old Style" w:hAnsi="Bookman Old Style"/>
          <w:i/>
          <w:iCs/>
          <w:shd w:val="clear" w:color="auto" w:fill="FFFFFF"/>
        </w:rPr>
        <w:t xml:space="preserve"> del </w:t>
      </w:r>
      <w:r w:rsidR="00302B5F">
        <w:rPr>
          <w:rFonts w:ascii="Bookman Old Style" w:hAnsi="Bookman Old Style"/>
          <w:i/>
          <w:iCs/>
          <w:shd w:val="clear" w:color="auto" w:fill="FFFFFF"/>
        </w:rPr>
        <w:t xml:space="preserve">artículo 1 de la presente resolución que modifica el </w:t>
      </w:r>
      <w:r>
        <w:rPr>
          <w:rFonts w:ascii="Bookman Old Style" w:hAnsi="Bookman Old Style"/>
          <w:i/>
          <w:iCs/>
          <w:shd w:val="clear" w:color="auto" w:fill="FFFFFF"/>
        </w:rPr>
        <w:t>artículo 37</w:t>
      </w:r>
      <w:r w:rsidR="007D1CB8" w:rsidRPr="001516FA">
        <w:rPr>
          <w:rFonts w:ascii="Bookman Old Style" w:hAnsi="Bookman Old Style"/>
          <w:i/>
          <w:iCs/>
          <w:shd w:val="clear" w:color="auto" w:fill="FFFFFF"/>
        </w:rPr>
        <w:t xml:space="preserve"> de la </w:t>
      </w:r>
      <w:r w:rsidR="00302B5F" w:rsidRPr="001516FA">
        <w:rPr>
          <w:rFonts w:ascii="Bookman Old Style" w:hAnsi="Bookman Old Style"/>
          <w:i/>
          <w:iCs/>
          <w:shd w:val="clear" w:color="auto" w:fill="FFFFFF"/>
        </w:rPr>
        <w:t>Resolución CREG 108 de 1997</w:t>
      </w:r>
      <w:r w:rsidRPr="001516FA">
        <w:rPr>
          <w:rFonts w:ascii="Bookman Old Style" w:hAnsi="Bookman Old Style"/>
          <w:i/>
          <w:iCs/>
          <w:shd w:val="clear" w:color="auto" w:fill="FFFFFF"/>
        </w:rPr>
        <w:t>, la empresa facturará el consumo objeto de investigación cobra</w:t>
      </w:r>
      <w:r w:rsidR="007B7AC6" w:rsidRPr="001516FA">
        <w:rPr>
          <w:rFonts w:ascii="Bookman Old Style" w:hAnsi="Bookman Old Style"/>
          <w:i/>
          <w:iCs/>
          <w:shd w:val="clear" w:color="auto" w:fill="FFFFFF"/>
        </w:rPr>
        <w:t xml:space="preserve">ndo </w:t>
      </w:r>
      <w:r w:rsidRPr="001516FA">
        <w:rPr>
          <w:rFonts w:ascii="Bookman Old Style" w:hAnsi="Bookman Old Style"/>
          <w:i/>
          <w:iCs/>
          <w:shd w:val="clear" w:color="auto" w:fill="FFFFFF"/>
        </w:rPr>
        <w:t xml:space="preserve">al usuario el consumo promedio </w:t>
      </w:r>
      <w:r w:rsidR="00FA56CE" w:rsidRPr="001516FA">
        <w:rPr>
          <w:rFonts w:ascii="Bookman Old Style" w:hAnsi="Bookman Old Style"/>
          <w:i/>
          <w:iCs/>
          <w:shd w:val="clear" w:color="auto" w:fill="FFFFFF"/>
        </w:rPr>
        <w:t>conforme a la definición del artículo 1 de la Resolución CREG 108 de 1997</w:t>
      </w:r>
      <w:r w:rsidR="003C7E83" w:rsidRPr="001516FA">
        <w:rPr>
          <w:rFonts w:ascii="Bookman Old Style" w:hAnsi="Bookman Old Style"/>
          <w:i/>
          <w:iCs/>
          <w:shd w:val="clear" w:color="auto" w:fill="FFFFFF"/>
        </w:rPr>
        <w:t xml:space="preserve"> o aquella que la modifique, adiciona o sustituya</w:t>
      </w:r>
      <w:r w:rsidR="003C7E83">
        <w:rPr>
          <w:rFonts w:ascii="Bookman Old Style" w:hAnsi="Bookman Old Style"/>
          <w:i/>
          <w:iCs/>
          <w:shd w:val="clear" w:color="auto" w:fill="FFFFFF"/>
        </w:rPr>
        <w:t xml:space="preserve">, o </w:t>
      </w:r>
      <w:r w:rsidR="00F70DF1">
        <w:rPr>
          <w:rFonts w:ascii="Bookman Old Style" w:hAnsi="Bookman Old Style"/>
          <w:i/>
          <w:iCs/>
          <w:shd w:val="clear" w:color="auto" w:fill="FFFFFF"/>
        </w:rPr>
        <w:t>consumos promedios de suscriptores o usuarios en circunstancias semejantes o mediante aforo individual de acuerdo con lo establecido en el contrato de condiciones uniformes.</w:t>
      </w:r>
      <w:r w:rsidR="00FA56CE">
        <w:rPr>
          <w:rFonts w:ascii="Bookman Old Style" w:hAnsi="Bookman Old Style"/>
          <w:i/>
          <w:iCs/>
          <w:shd w:val="clear" w:color="auto" w:fill="FFFFFF"/>
        </w:rPr>
        <w:t>”</w:t>
      </w:r>
    </w:p>
    <w:p w14:paraId="3C9885CE" w14:textId="1523B97A" w:rsidR="00663058" w:rsidRPr="008C4F8B" w:rsidRDefault="00663058" w:rsidP="007B2565">
      <w:pPr>
        <w:tabs>
          <w:tab w:val="left" w:pos="1276"/>
        </w:tabs>
        <w:spacing w:before="120" w:after="120"/>
        <w:ind w:left="426"/>
        <w:jc w:val="both"/>
        <w:rPr>
          <w:rFonts w:ascii="Bookman Old Style" w:hAnsi="Bookman Old Style"/>
          <w:i/>
          <w:iCs/>
          <w:shd w:val="clear" w:color="auto" w:fill="FFFFFF"/>
        </w:rPr>
      </w:pPr>
      <w:r w:rsidRPr="008C4F8B">
        <w:rPr>
          <w:rFonts w:ascii="Bookman Old Style" w:hAnsi="Bookman Old Style"/>
          <w:i/>
          <w:iCs/>
          <w:shd w:val="clear" w:color="auto" w:fill="FFFFFF"/>
        </w:rPr>
        <w:t xml:space="preserve">En </w:t>
      </w:r>
      <w:r w:rsidR="007D1CB8">
        <w:rPr>
          <w:rFonts w:ascii="Bookman Old Style" w:hAnsi="Bookman Old Style"/>
          <w:i/>
          <w:iCs/>
          <w:shd w:val="clear" w:color="auto" w:fill="FFFFFF"/>
        </w:rPr>
        <w:t xml:space="preserve">el </w:t>
      </w:r>
      <w:r w:rsidRPr="008C4F8B">
        <w:rPr>
          <w:rFonts w:ascii="Bookman Old Style" w:hAnsi="Bookman Old Style"/>
          <w:i/>
          <w:iCs/>
          <w:shd w:val="clear" w:color="auto" w:fill="FFFFFF"/>
        </w:rPr>
        <w:t>caso de que el consumo objeto de investigación esté por debajo del límite inferior</w:t>
      </w:r>
      <w:r>
        <w:rPr>
          <w:rFonts w:ascii="Bookman Old Style" w:hAnsi="Bookman Old Style"/>
          <w:i/>
          <w:iCs/>
          <w:shd w:val="clear" w:color="auto" w:fill="FFFFFF"/>
        </w:rPr>
        <w:t xml:space="preserve"> y</w:t>
      </w:r>
      <w:r w:rsidRPr="008C4F8B">
        <w:rPr>
          <w:rFonts w:ascii="Bookman Old Style" w:hAnsi="Bookman Old Style"/>
          <w:i/>
          <w:iCs/>
          <w:shd w:val="clear" w:color="auto" w:fill="FFFFFF"/>
        </w:rPr>
        <w:t xml:space="preserve"> la empresa</w:t>
      </w:r>
      <w:r w:rsidR="00A04A71">
        <w:rPr>
          <w:rFonts w:ascii="Bookman Old Style" w:hAnsi="Bookman Old Style"/>
          <w:i/>
          <w:iCs/>
          <w:shd w:val="clear" w:color="auto" w:fill="FFFFFF"/>
        </w:rPr>
        <w:t>,</w:t>
      </w:r>
      <w:r>
        <w:rPr>
          <w:rFonts w:ascii="Bookman Old Style" w:hAnsi="Bookman Old Style"/>
          <w:i/>
          <w:iCs/>
          <w:shd w:val="clear" w:color="auto" w:fill="FFFFFF"/>
        </w:rPr>
        <w:t xml:space="preserve"> por decisión propia</w:t>
      </w:r>
      <w:r w:rsidR="00A04A71">
        <w:rPr>
          <w:rFonts w:ascii="Bookman Old Style" w:hAnsi="Bookman Old Style"/>
          <w:i/>
          <w:iCs/>
          <w:shd w:val="clear" w:color="auto" w:fill="FFFFFF"/>
        </w:rPr>
        <w:t>,</w:t>
      </w:r>
      <w:r>
        <w:rPr>
          <w:rFonts w:ascii="Bookman Old Style" w:hAnsi="Bookman Old Style"/>
          <w:i/>
          <w:iCs/>
          <w:shd w:val="clear" w:color="auto" w:fill="FFFFFF"/>
        </w:rPr>
        <w:t xml:space="preserve"> inicie el proceso de investigación por desviación significativa</w:t>
      </w:r>
      <w:r w:rsidR="00247776">
        <w:rPr>
          <w:rFonts w:ascii="Bookman Old Style" w:hAnsi="Bookman Old Style"/>
          <w:i/>
          <w:iCs/>
          <w:shd w:val="clear" w:color="auto" w:fill="FFFFFF"/>
        </w:rPr>
        <w:t>,</w:t>
      </w:r>
      <w:r>
        <w:rPr>
          <w:rFonts w:ascii="Bookman Old Style" w:hAnsi="Bookman Old Style"/>
          <w:i/>
          <w:iCs/>
          <w:shd w:val="clear" w:color="auto" w:fill="FFFFFF"/>
        </w:rPr>
        <w:t xml:space="preserve"> mientras se establece la causa de la desviación, la empresa facturará </w:t>
      </w:r>
      <w:r w:rsidR="00A04A71">
        <w:rPr>
          <w:rFonts w:ascii="Bookman Old Style" w:hAnsi="Bookman Old Style"/>
          <w:i/>
          <w:iCs/>
          <w:shd w:val="clear" w:color="auto" w:fill="FFFFFF"/>
        </w:rPr>
        <w:t>un</w:t>
      </w:r>
      <w:r>
        <w:rPr>
          <w:rFonts w:ascii="Bookman Old Style" w:hAnsi="Bookman Old Style"/>
          <w:i/>
          <w:iCs/>
          <w:shd w:val="clear" w:color="auto" w:fill="FFFFFF"/>
        </w:rPr>
        <w:t xml:space="preserve"> consumo </w:t>
      </w:r>
      <w:r w:rsidR="00A04A71">
        <w:rPr>
          <w:rFonts w:ascii="Bookman Old Style" w:hAnsi="Bookman Old Style"/>
          <w:i/>
          <w:iCs/>
          <w:shd w:val="clear" w:color="auto" w:fill="FFFFFF"/>
        </w:rPr>
        <w:t xml:space="preserve">igual al valor del consumo que es </w:t>
      </w:r>
      <w:r>
        <w:rPr>
          <w:rFonts w:ascii="Bookman Old Style" w:hAnsi="Bookman Old Style"/>
          <w:i/>
          <w:iCs/>
          <w:shd w:val="clear" w:color="auto" w:fill="FFFFFF"/>
        </w:rPr>
        <w:t>objeto de investigación</w:t>
      </w:r>
      <w:r w:rsidRPr="008C4F8B">
        <w:rPr>
          <w:rFonts w:ascii="Bookman Old Style" w:hAnsi="Bookman Old Style"/>
          <w:i/>
          <w:iCs/>
          <w:shd w:val="clear" w:color="auto" w:fill="FFFFFF"/>
        </w:rPr>
        <w:t xml:space="preserve">. </w:t>
      </w:r>
    </w:p>
    <w:p w14:paraId="7B0EFAEC" w14:textId="413E6A1D" w:rsidR="00A04A71" w:rsidRPr="001F76C7" w:rsidRDefault="00902AAA" w:rsidP="007B7AC6">
      <w:pPr>
        <w:tabs>
          <w:tab w:val="left" w:pos="1701"/>
        </w:tabs>
        <w:spacing w:before="240" w:after="240"/>
        <w:ind w:left="426"/>
        <w:jc w:val="both"/>
        <w:rPr>
          <w:rFonts w:ascii="Bookman Old Style" w:hAnsi="Bookman Old Style"/>
          <w:i/>
          <w:iCs/>
          <w:shd w:val="clear" w:color="auto" w:fill="FFFFFF"/>
        </w:rPr>
      </w:pPr>
      <w:r>
        <w:rPr>
          <w:rFonts w:ascii="Bookman Old Style" w:hAnsi="Bookman Old Style"/>
          <w:i/>
          <w:iCs/>
          <w:shd w:val="clear" w:color="auto" w:fill="FFFFFF"/>
        </w:rPr>
        <w:t xml:space="preserve">Mientras se realiza la investigación por </w:t>
      </w:r>
      <w:r w:rsidR="0072629B">
        <w:rPr>
          <w:rFonts w:ascii="Bookman Old Style" w:hAnsi="Bookman Old Style"/>
          <w:i/>
          <w:iCs/>
          <w:shd w:val="clear" w:color="auto" w:fill="FFFFFF"/>
        </w:rPr>
        <w:t xml:space="preserve">desviaciones </w:t>
      </w:r>
      <w:r>
        <w:rPr>
          <w:rFonts w:ascii="Bookman Old Style" w:hAnsi="Bookman Old Style"/>
          <w:i/>
          <w:iCs/>
          <w:shd w:val="clear" w:color="auto" w:fill="FFFFFF"/>
        </w:rPr>
        <w:t>significativa</w:t>
      </w:r>
      <w:r w:rsidR="0072629B">
        <w:rPr>
          <w:rFonts w:ascii="Bookman Old Style" w:hAnsi="Bookman Old Style"/>
          <w:i/>
          <w:iCs/>
          <w:shd w:val="clear" w:color="auto" w:fill="FFFFFF"/>
        </w:rPr>
        <w:t>s</w:t>
      </w:r>
      <w:r>
        <w:rPr>
          <w:rFonts w:ascii="Bookman Old Style" w:hAnsi="Bookman Old Style"/>
          <w:i/>
          <w:iCs/>
          <w:shd w:val="clear" w:color="auto" w:fill="FFFFFF"/>
        </w:rPr>
        <w:t xml:space="preserve"> </w:t>
      </w:r>
      <w:r w:rsidR="00C56B02">
        <w:rPr>
          <w:rFonts w:ascii="Bookman Old Style" w:hAnsi="Bookman Old Style"/>
          <w:i/>
          <w:iCs/>
          <w:shd w:val="clear" w:color="auto" w:fill="FFFFFF"/>
        </w:rPr>
        <w:t>el usuario deberá pagar su factura</w:t>
      </w:r>
      <w:r w:rsidR="005B7071">
        <w:rPr>
          <w:rFonts w:ascii="Bookman Old Style" w:hAnsi="Bookman Old Style"/>
          <w:i/>
          <w:iCs/>
          <w:shd w:val="clear" w:color="auto" w:fill="FFFFFF"/>
        </w:rPr>
        <w:t xml:space="preserve"> y</w:t>
      </w:r>
      <w:r w:rsidR="00C56B02">
        <w:rPr>
          <w:rFonts w:ascii="Bookman Old Style" w:hAnsi="Bookman Old Style"/>
          <w:i/>
          <w:iCs/>
          <w:shd w:val="clear" w:color="auto" w:fill="FFFFFF"/>
        </w:rPr>
        <w:t xml:space="preserve"> una vez la empresa determine la causa de la desviación ajustará los valores cobrados </w:t>
      </w:r>
      <w:r w:rsidR="00750A7C">
        <w:rPr>
          <w:rFonts w:ascii="Bookman Old Style" w:hAnsi="Bookman Old Style"/>
          <w:i/>
          <w:iCs/>
          <w:shd w:val="clear" w:color="auto" w:fill="FFFFFF"/>
        </w:rPr>
        <w:t>en el siguiente periodo de facturación</w:t>
      </w:r>
      <w:r w:rsidR="00A25D09">
        <w:rPr>
          <w:rFonts w:ascii="Bookman Old Style" w:hAnsi="Bookman Old Style"/>
          <w:i/>
          <w:iCs/>
          <w:shd w:val="clear" w:color="auto" w:fill="FFFFFF"/>
        </w:rPr>
        <w:t xml:space="preserve"> conforme a</w:t>
      </w:r>
      <w:r w:rsidR="003C7E83">
        <w:rPr>
          <w:rFonts w:ascii="Bookman Old Style" w:hAnsi="Bookman Old Style"/>
          <w:i/>
          <w:iCs/>
          <w:shd w:val="clear" w:color="auto" w:fill="FFFFFF"/>
        </w:rPr>
        <w:t xml:space="preserve"> lo establecido en el</w:t>
      </w:r>
      <w:r w:rsidR="00A25D09">
        <w:rPr>
          <w:rFonts w:ascii="Bookman Old Style" w:hAnsi="Bookman Old Style"/>
          <w:i/>
          <w:iCs/>
          <w:shd w:val="clear" w:color="auto" w:fill="FFFFFF"/>
        </w:rPr>
        <w:t xml:space="preserve"> artículo 39</w:t>
      </w:r>
      <w:r w:rsidR="003C7E83">
        <w:rPr>
          <w:rFonts w:ascii="Bookman Old Style" w:hAnsi="Bookman Old Style"/>
          <w:i/>
          <w:iCs/>
          <w:shd w:val="clear" w:color="auto" w:fill="FFFFFF"/>
        </w:rPr>
        <w:t xml:space="preserve"> de </w:t>
      </w:r>
      <w:r w:rsidR="003C7E83" w:rsidRPr="001516FA">
        <w:rPr>
          <w:rFonts w:ascii="Bookman Old Style" w:hAnsi="Bookman Old Style"/>
          <w:i/>
          <w:iCs/>
          <w:shd w:val="clear" w:color="auto" w:fill="FFFFFF"/>
        </w:rPr>
        <w:t>la Resolución CREG 108 de 1997 o aquella que la modifique, adicione o sustituya</w:t>
      </w:r>
    </w:p>
    <w:p w14:paraId="77409187" w14:textId="44153193" w:rsidR="001F76C7" w:rsidRDefault="001F76C7" w:rsidP="00663058">
      <w:pPr>
        <w:numPr>
          <w:ilvl w:val="0"/>
          <w:numId w:val="7"/>
        </w:numPr>
        <w:tabs>
          <w:tab w:val="left" w:pos="1701"/>
          <w:tab w:val="num" w:pos="2150"/>
        </w:tabs>
        <w:spacing w:before="240" w:after="240"/>
        <w:ind w:left="142"/>
        <w:jc w:val="both"/>
        <w:rPr>
          <w:rFonts w:ascii="Bookman Old Style" w:hAnsi="Bookman Old Style" w:cs="Arial"/>
        </w:rPr>
      </w:pPr>
      <w:r w:rsidRPr="00663058">
        <w:rPr>
          <w:rFonts w:ascii="Bookman Old Style" w:hAnsi="Bookman Old Style" w:cs="Arial"/>
        </w:rPr>
        <w:t>Vigencia.</w:t>
      </w:r>
      <w:r w:rsidRPr="00E30F97">
        <w:rPr>
          <w:rFonts w:ascii="Bookman Old Style" w:hAnsi="Bookman Old Style" w:cs="Arial"/>
        </w:rPr>
        <w:t xml:space="preserve"> La presente resolución</w:t>
      </w:r>
      <w:r>
        <w:rPr>
          <w:rFonts w:ascii="Bookman Old Style" w:hAnsi="Bookman Old Style" w:cs="Arial"/>
        </w:rPr>
        <w:t xml:space="preserve"> </w:t>
      </w:r>
      <w:r w:rsidRPr="00E30F97">
        <w:rPr>
          <w:rFonts w:ascii="Bookman Old Style" w:hAnsi="Bookman Old Style" w:cs="Arial"/>
        </w:rPr>
        <w:t xml:space="preserve">rige </w:t>
      </w:r>
      <w:r>
        <w:rPr>
          <w:rFonts w:ascii="Bookman Old Style" w:hAnsi="Bookman Old Style" w:cs="Arial"/>
        </w:rPr>
        <w:t xml:space="preserve">de forma transitoria </w:t>
      </w:r>
      <w:r w:rsidRPr="00E30F97">
        <w:rPr>
          <w:rFonts w:ascii="Bookman Old Style" w:hAnsi="Bookman Old Style" w:cs="Arial"/>
        </w:rPr>
        <w:t xml:space="preserve">a partir de su publicación en el </w:t>
      </w:r>
      <w:r w:rsidRPr="001516FA">
        <w:rPr>
          <w:rFonts w:ascii="Bookman Old Style" w:hAnsi="Bookman Old Style" w:cs="Arial"/>
          <w:i/>
          <w:iCs/>
        </w:rPr>
        <w:t>Diario Oficial</w:t>
      </w:r>
      <w:r>
        <w:rPr>
          <w:rFonts w:ascii="Bookman Old Style" w:hAnsi="Bookman Old Style" w:cs="Arial"/>
        </w:rPr>
        <w:t xml:space="preserve"> hasta tanto </w:t>
      </w:r>
      <w:r w:rsidRPr="00503AC6">
        <w:rPr>
          <w:rFonts w:ascii="Bookman Old Style" w:hAnsi="Bookman Old Style" w:cs="Arial"/>
        </w:rPr>
        <w:t>se produ</w:t>
      </w:r>
      <w:r>
        <w:rPr>
          <w:rFonts w:ascii="Bookman Old Style" w:hAnsi="Bookman Old Style" w:cs="Arial"/>
        </w:rPr>
        <w:t>zca</w:t>
      </w:r>
      <w:r w:rsidRPr="00503AC6">
        <w:rPr>
          <w:rFonts w:ascii="Bookman Old Style" w:hAnsi="Bookman Old Style" w:cs="Arial"/>
        </w:rPr>
        <w:t xml:space="preserve"> una decisión</w:t>
      </w:r>
      <w:r w:rsidR="007C6C69">
        <w:rPr>
          <w:rFonts w:ascii="Bookman Old Style" w:hAnsi="Bookman Old Style" w:cs="Arial"/>
        </w:rPr>
        <w:t xml:space="preserve"> definitiva por parte de la CREG con base en la decisión</w:t>
      </w:r>
      <w:r w:rsidRPr="00503AC6">
        <w:rPr>
          <w:rFonts w:ascii="Bookman Old Style" w:hAnsi="Bookman Old Style" w:cs="Arial"/>
        </w:rPr>
        <w:t xml:space="preserve"> del Consejo de Estado respecto de la solicitud de nulidad </w:t>
      </w:r>
      <w:r w:rsidR="00DC5EF6" w:rsidRPr="001516FA">
        <w:rPr>
          <w:rFonts w:ascii="Bookman Old Style" w:hAnsi="Bookman Old Style" w:cs="Arial"/>
        </w:rPr>
        <w:t xml:space="preserve">parcial </w:t>
      </w:r>
      <w:r w:rsidRPr="001516FA">
        <w:rPr>
          <w:rFonts w:ascii="Bookman Old Style" w:hAnsi="Bookman Old Style" w:cs="Arial"/>
        </w:rPr>
        <w:t>d</w:t>
      </w:r>
      <w:r w:rsidRPr="00503AC6">
        <w:rPr>
          <w:rFonts w:ascii="Bookman Old Style" w:hAnsi="Bookman Old Style" w:cs="Arial"/>
        </w:rPr>
        <w:t>el aparte del parágrafo 1 de</w:t>
      </w:r>
      <w:r>
        <w:rPr>
          <w:rFonts w:ascii="Bookman Old Style" w:hAnsi="Bookman Old Style" w:cs="Arial"/>
        </w:rPr>
        <w:t>l</w:t>
      </w:r>
      <w:r w:rsidRPr="00503AC6">
        <w:rPr>
          <w:rFonts w:ascii="Bookman Old Style" w:hAnsi="Bookman Old Style" w:cs="Arial"/>
        </w:rPr>
        <w:t xml:space="preserve"> artículo 37 de la Resolución CREG 108 de 1997</w:t>
      </w:r>
      <w:r w:rsidR="00131AC6">
        <w:rPr>
          <w:rFonts w:ascii="Bookman Old Style" w:hAnsi="Bookman Old Style" w:cs="Arial"/>
        </w:rPr>
        <w:t xml:space="preserve">, que indica </w:t>
      </w:r>
      <w:r w:rsidR="00131AC6" w:rsidRPr="00131AC6">
        <w:rPr>
          <w:rFonts w:ascii="Bookman Old Style" w:hAnsi="Bookman Old Style" w:cs="Arial"/>
        </w:rPr>
        <w:t>“los porcentajes que fijen las empresas en las condiciones uniformes del contrato”.</w:t>
      </w:r>
      <w:r w:rsidR="00A04A71">
        <w:rPr>
          <w:rFonts w:ascii="Bookman Old Style" w:hAnsi="Bookman Old Style" w:cs="Arial"/>
        </w:rPr>
        <w:t xml:space="preserve"> Su aplicación iniciará una vez transcurridos treinta (30) días </w:t>
      </w:r>
      <w:r w:rsidR="003E3F4A">
        <w:rPr>
          <w:rFonts w:ascii="Bookman Old Style" w:hAnsi="Bookman Old Style" w:cs="Arial"/>
        </w:rPr>
        <w:t>hábiles</w:t>
      </w:r>
      <w:r w:rsidR="00A04A71">
        <w:rPr>
          <w:rFonts w:ascii="Bookman Old Style" w:hAnsi="Bookman Old Style" w:cs="Arial"/>
        </w:rPr>
        <w:t xml:space="preserve"> desde la publicación.</w:t>
      </w:r>
    </w:p>
    <w:p w14:paraId="185A0E4A" w14:textId="48B5AD76" w:rsidR="00E060BE" w:rsidRDefault="00E060BE" w:rsidP="001F76C7">
      <w:pPr>
        <w:ind w:left="0"/>
        <w:rPr>
          <w:rFonts w:ascii="Bookman Old Style" w:hAnsi="Bookman Old Style" w:cs="Arial"/>
        </w:rPr>
      </w:pPr>
    </w:p>
    <w:p w14:paraId="6B4977A4" w14:textId="7C1BBF06" w:rsidR="00FF7657" w:rsidRDefault="00FF7657" w:rsidP="00FF7657">
      <w:pPr>
        <w:jc w:val="center"/>
        <w:rPr>
          <w:rFonts w:ascii="Bookman Old Style" w:hAnsi="Bookman Old Style"/>
          <w:b/>
        </w:rPr>
      </w:pPr>
      <w:r w:rsidRPr="00C435C3">
        <w:rPr>
          <w:rFonts w:ascii="Bookman Old Style" w:hAnsi="Bookman Old Style"/>
          <w:b/>
        </w:rPr>
        <w:t>PU</w:t>
      </w:r>
      <w:r>
        <w:rPr>
          <w:rFonts w:ascii="Bookman Old Style" w:hAnsi="Bookman Old Style"/>
          <w:b/>
        </w:rPr>
        <w:t>B</w:t>
      </w:r>
      <w:r w:rsidRPr="00C435C3">
        <w:rPr>
          <w:rFonts w:ascii="Bookman Old Style" w:hAnsi="Bookman Old Style"/>
          <w:b/>
        </w:rPr>
        <w:t>LÍQUESE Y CÚMPLASE</w:t>
      </w:r>
    </w:p>
    <w:p w14:paraId="0ACAC14B" w14:textId="77777777" w:rsidR="00406132" w:rsidRPr="00C435C3" w:rsidRDefault="00406132" w:rsidP="00FF7657">
      <w:pPr>
        <w:jc w:val="center"/>
        <w:rPr>
          <w:rFonts w:ascii="Bookman Old Style" w:hAnsi="Bookman Old Style"/>
          <w:b/>
        </w:rPr>
      </w:pPr>
    </w:p>
    <w:p w14:paraId="7C7FC197" w14:textId="77777777" w:rsidR="00FF7657" w:rsidRPr="00C435C3" w:rsidRDefault="00FF7657" w:rsidP="00FF7657">
      <w:pPr>
        <w:rPr>
          <w:rFonts w:ascii="Bookman Old Style" w:hAnsi="Bookman Old Style"/>
        </w:rPr>
      </w:pPr>
    </w:p>
    <w:p w14:paraId="4C32B72A" w14:textId="0473CC2E" w:rsidR="00FF7657" w:rsidRDefault="00FF7657" w:rsidP="00FF7657">
      <w:pPr>
        <w:ind w:left="0"/>
        <w:rPr>
          <w:rFonts w:ascii="Bookman Old Style" w:hAnsi="Bookman Old Style"/>
        </w:rPr>
      </w:pPr>
      <w:r>
        <w:rPr>
          <w:rFonts w:ascii="Bookman Old Style" w:hAnsi="Bookman Old Style"/>
        </w:rPr>
        <w:t>Dada en Bogotá, D.C.</w:t>
      </w:r>
      <w:r w:rsidR="00406132">
        <w:rPr>
          <w:rFonts w:ascii="Bookman Old Style" w:hAnsi="Bookman Old Style"/>
        </w:rPr>
        <w:t>,</w:t>
      </w:r>
      <w:r>
        <w:rPr>
          <w:rFonts w:ascii="Bookman Old Style" w:hAnsi="Bookman Old Style"/>
        </w:rPr>
        <w:t xml:space="preserve"> a</w:t>
      </w:r>
      <w:r w:rsidR="00406132">
        <w:rPr>
          <w:rFonts w:ascii="Bookman Old Style" w:hAnsi="Bookman Old Style"/>
        </w:rPr>
        <w:t xml:space="preserve"> los 30 días de enero de 2024.</w:t>
      </w:r>
    </w:p>
    <w:p w14:paraId="2A0C59AA" w14:textId="05372AE3" w:rsidR="00406132" w:rsidRDefault="00406132" w:rsidP="00406132">
      <w:pPr>
        <w:ind w:left="708" w:hanging="708"/>
        <w:rPr>
          <w:rFonts w:ascii="Bookman Old Style" w:hAnsi="Bookman Old Style"/>
        </w:rPr>
      </w:pPr>
    </w:p>
    <w:p w14:paraId="50A9A318" w14:textId="77777777" w:rsidR="00FF7657" w:rsidRDefault="00FF7657" w:rsidP="00FF7657">
      <w:pPr>
        <w:ind w:left="0"/>
        <w:rPr>
          <w:rFonts w:ascii="Bookman Old Style" w:hAnsi="Bookman Old Style"/>
        </w:rPr>
      </w:pPr>
    </w:p>
    <w:p w14:paraId="16E2AB95" w14:textId="77777777" w:rsidR="00FF7657" w:rsidRDefault="00FF7657" w:rsidP="00FF7657">
      <w:pPr>
        <w:ind w:left="0"/>
        <w:rPr>
          <w:rFonts w:ascii="Bookman Old Style" w:hAnsi="Bookman Old Style"/>
        </w:rPr>
      </w:pPr>
    </w:p>
    <w:tbl>
      <w:tblPr>
        <w:tblStyle w:val="Tablaconcuadrcula"/>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4962"/>
        <w:gridCol w:w="4536"/>
      </w:tblGrid>
      <w:tr w:rsidR="00406132" w:rsidRPr="00934A61" w14:paraId="05542BDD" w14:textId="77777777" w:rsidTr="00516B23">
        <w:tc>
          <w:tcPr>
            <w:tcW w:w="4962" w:type="dxa"/>
          </w:tcPr>
          <w:p w14:paraId="4829E371" w14:textId="77777777" w:rsidR="00406132" w:rsidRPr="00200C88" w:rsidRDefault="00406132" w:rsidP="00516B23">
            <w:pPr>
              <w:spacing w:line="259" w:lineRule="auto"/>
              <w:ind w:left="0"/>
              <w:jc w:val="center"/>
              <w:rPr>
                <w:rFonts w:ascii="Bookman Old Style" w:hAnsi="Bookman Old Style"/>
                <w:b/>
                <w:bCs/>
              </w:rPr>
            </w:pPr>
            <w:r>
              <w:rPr>
                <w:rFonts w:ascii="Bookman Old Style" w:hAnsi="Bookman Old Style"/>
                <w:b/>
                <w:bCs/>
              </w:rPr>
              <w:t>OMAR ANDRÉS CAMACHO MORALES</w:t>
            </w:r>
          </w:p>
          <w:p w14:paraId="0A0742BE" w14:textId="77777777" w:rsidR="00406132" w:rsidRPr="00200C88" w:rsidRDefault="00406132" w:rsidP="00516B23">
            <w:pPr>
              <w:spacing w:line="259" w:lineRule="auto"/>
              <w:ind w:left="0"/>
              <w:jc w:val="center"/>
              <w:rPr>
                <w:rFonts w:ascii="Bookman Old Style" w:hAnsi="Bookman Old Style"/>
              </w:rPr>
            </w:pPr>
            <w:r w:rsidRPr="00200C88">
              <w:rPr>
                <w:rFonts w:ascii="Bookman Old Style" w:hAnsi="Bookman Old Style"/>
              </w:rPr>
              <w:t>Ministr</w:t>
            </w:r>
            <w:r>
              <w:rPr>
                <w:rFonts w:ascii="Bookman Old Style" w:hAnsi="Bookman Old Style"/>
              </w:rPr>
              <w:t>o</w:t>
            </w:r>
            <w:r w:rsidRPr="00200C88">
              <w:rPr>
                <w:rFonts w:ascii="Bookman Old Style" w:hAnsi="Bookman Old Style"/>
              </w:rPr>
              <w:t xml:space="preserve"> de Minas y Energía</w:t>
            </w:r>
          </w:p>
          <w:p w14:paraId="53981A96" w14:textId="77777777" w:rsidR="00406132" w:rsidRPr="00934A61" w:rsidRDefault="00406132" w:rsidP="00516B23">
            <w:pPr>
              <w:spacing w:line="259" w:lineRule="auto"/>
              <w:ind w:left="0"/>
              <w:jc w:val="center"/>
              <w:rPr>
                <w:rFonts w:ascii="Bookman Old Style" w:hAnsi="Bookman Old Style"/>
              </w:rPr>
            </w:pPr>
            <w:r w:rsidRPr="00200C88">
              <w:rPr>
                <w:rFonts w:ascii="Bookman Old Style" w:hAnsi="Bookman Old Style"/>
              </w:rPr>
              <w:t>Presidente</w:t>
            </w:r>
          </w:p>
        </w:tc>
        <w:tc>
          <w:tcPr>
            <w:tcW w:w="4536" w:type="dxa"/>
          </w:tcPr>
          <w:p w14:paraId="0D40C2BD" w14:textId="77777777" w:rsidR="00406132" w:rsidRPr="00934A61" w:rsidRDefault="00406132" w:rsidP="00516B23">
            <w:pPr>
              <w:spacing w:line="259" w:lineRule="auto"/>
              <w:ind w:left="31"/>
              <w:jc w:val="center"/>
              <w:rPr>
                <w:rFonts w:ascii="Bookman Old Style" w:hAnsi="Bookman Old Style"/>
                <w:b/>
                <w:bCs/>
              </w:rPr>
            </w:pPr>
            <w:r>
              <w:rPr>
                <w:rFonts w:ascii="Bookman Old Style" w:hAnsi="Bookman Old Style"/>
                <w:b/>
                <w:bCs/>
              </w:rPr>
              <w:t>OMAR PRIAS CAICEDO</w:t>
            </w:r>
          </w:p>
          <w:p w14:paraId="087B82C3" w14:textId="77777777" w:rsidR="00406132" w:rsidRPr="00934A61" w:rsidRDefault="00406132" w:rsidP="00516B23">
            <w:pPr>
              <w:spacing w:line="259" w:lineRule="auto"/>
              <w:ind w:left="41"/>
              <w:jc w:val="center"/>
              <w:rPr>
                <w:rFonts w:ascii="Bookman Old Style" w:hAnsi="Bookman Old Style"/>
              </w:rPr>
            </w:pPr>
            <w:r w:rsidRPr="00934A61">
              <w:rPr>
                <w:rFonts w:ascii="Bookman Old Style" w:hAnsi="Bookman Old Style"/>
              </w:rPr>
              <w:t>Director Ejecutiv</w:t>
            </w:r>
            <w:r>
              <w:rPr>
                <w:rFonts w:ascii="Bookman Old Style" w:hAnsi="Bookman Old Style"/>
              </w:rPr>
              <w:t>o</w:t>
            </w:r>
          </w:p>
        </w:tc>
      </w:tr>
    </w:tbl>
    <w:p w14:paraId="09237988" w14:textId="77777777" w:rsidR="00406132" w:rsidRPr="00E060BE" w:rsidRDefault="00406132" w:rsidP="00406132">
      <w:pPr>
        <w:ind w:left="0"/>
        <w:jc w:val="center"/>
        <w:rPr>
          <w:rFonts w:ascii="Bookman Old Style" w:hAnsi="Bookman Old Style" w:cs="Arial"/>
        </w:rPr>
      </w:pPr>
    </w:p>
    <w:p w14:paraId="3BA4A8EE" w14:textId="77777777" w:rsidR="00090016" w:rsidRPr="00E060BE" w:rsidRDefault="00090016" w:rsidP="001F76C7">
      <w:pPr>
        <w:ind w:left="0"/>
        <w:rPr>
          <w:rFonts w:ascii="Bookman Old Style" w:hAnsi="Bookman Old Style" w:cs="Arial"/>
        </w:rPr>
      </w:pPr>
    </w:p>
    <w:sectPr w:rsidR="00090016" w:rsidRPr="00E060BE" w:rsidSect="0063284F">
      <w:headerReference w:type="even" r:id="rId13"/>
      <w:headerReference w:type="default" r:id="rId14"/>
      <w:footerReference w:type="even" r:id="rId15"/>
      <w:footerReference w:type="default" r:id="rId16"/>
      <w:headerReference w:type="first" r:id="rId17"/>
      <w:footerReference w:type="first" r:id="rId18"/>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28B6C" w14:textId="77777777" w:rsidR="0063284F" w:rsidRDefault="0063284F">
      <w:r>
        <w:separator/>
      </w:r>
    </w:p>
  </w:endnote>
  <w:endnote w:type="continuationSeparator" w:id="0">
    <w:p w14:paraId="53E953EC" w14:textId="77777777" w:rsidR="0063284F" w:rsidRDefault="0063284F">
      <w:r>
        <w:continuationSeparator/>
      </w:r>
    </w:p>
  </w:endnote>
  <w:endnote w:type="continuationNotice" w:id="1">
    <w:p w14:paraId="3854FC07" w14:textId="77777777" w:rsidR="0063284F" w:rsidRDefault="00632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E7C02" w14:textId="77777777" w:rsidR="00BE63C8" w:rsidRDefault="00BE63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D51D3" w14:textId="77777777" w:rsidR="00BE63C8" w:rsidRDefault="00BE63C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97788" w14:textId="77777777" w:rsidR="00BE63C8" w:rsidRDefault="00BE63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F1A86" w14:textId="77777777" w:rsidR="0063284F" w:rsidRDefault="0063284F">
      <w:r>
        <w:separator/>
      </w:r>
    </w:p>
  </w:footnote>
  <w:footnote w:type="continuationSeparator" w:id="0">
    <w:p w14:paraId="55C0E454" w14:textId="77777777" w:rsidR="0063284F" w:rsidRDefault="0063284F">
      <w:r>
        <w:continuationSeparator/>
      </w:r>
    </w:p>
  </w:footnote>
  <w:footnote w:type="continuationNotice" w:id="1">
    <w:p w14:paraId="13BEFD39" w14:textId="77777777" w:rsidR="0063284F" w:rsidRDefault="00632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7AF4" w14:textId="77777777" w:rsidR="00BE63C8" w:rsidRDefault="00BE63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2111009F"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 xml:space="preserve">RESOLUCIÓN </w:t>
    </w:r>
    <w:r w:rsidR="001029A4" w:rsidRPr="00654384">
      <w:rPr>
        <w:rFonts w:ascii="Bookman Old Style" w:hAnsi="Bookman Old Style" w:cs="Arial"/>
        <w:b w:val="0"/>
        <w:sz w:val="22"/>
        <w:szCs w:val="22"/>
      </w:rPr>
      <w:t>No</w:t>
    </w:r>
    <w:r w:rsidR="001029A4" w:rsidRPr="001029A4">
      <w:rPr>
        <w:rFonts w:ascii="Bookman Old Style" w:hAnsi="Bookman Old Style" w:cs="Arial"/>
        <w:b w:val="0"/>
        <w:sz w:val="22"/>
        <w:szCs w:val="22"/>
      </w:rPr>
      <w:t xml:space="preserve">. </w:t>
    </w:r>
    <w:r w:rsidR="007B1830" w:rsidRPr="00406132">
      <w:rPr>
        <w:rFonts w:ascii="Bookman Old Style" w:hAnsi="Bookman Old Style" w:cs="Arial"/>
        <w:bCs/>
        <w:szCs w:val="24"/>
        <w:u w:val="single"/>
      </w:rPr>
      <w:t>105 00</w:t>
    </w:r>
    <w:r w:rsidR="00406132" w:rsidRPr="00406132">
      <w:rPr>
        <w:rFonts w:ascii="Bookman Old Style" w:hAnsi="Bookman Old Style" w:cs="Arial"/>
        <w:bCs/>
        <w:szCs w:val="24"/>
        <w:u w:val="single"/>
      </w:rPr>
      <w:t>7</w:t>
    </w:r>
    <w:r w:rsidR="00406132">
      <w:rPr>
        <w:rFonts w:ascii="Bookman Old Style" w:hAnsi="Bookman Old Style" w:cs="Arial"/>
        <w:bCs/>
        <w:sz w:val="22"/>
        <w:szCs w:val="22"/>
        <w:u w:val="single"/>
      </w:rPr>
      <w:t xml:space="preserve"> </w:t>
    </w:r>
    <w:r w:rsidR="001029A4" w:rsidRPr="001029A4">
      <w:rPr>
        <w:rFonts w:ascii="Bookman Old Style" w:hAnsi="Bookman Old Style" w:cs="Arial"/>
        <w:bCs/>
        <w:sz w:val="22"/>
        <w:szCs w:val="22"/>
      </w:rPr>
      <w:tab/>
    </w:r>
    <w:r w:rsidR="00406132" w:rsidRPr="00406132">
      <w:rPr>
        <w:rFonts w:ascii="Bookman Old Style" w:hAnsi="Bookman Old Style" w:cs="Arial"/>
        <w:b w:val="0"/>
        <w:sz w:val="22"/>
        <w:szCs w:val="22"/>
      </w:rPr>
      <w:t>DE</w:t>
    </w:r>
    <w:r w:rsidR="00406132" w:rsidRPr="001029A4">
      <w:rPr>
        <w:rFonts w:ascii="Bookman Old Style" w:hAnsi="Bookman Old Style" w:cs="Arial"/>
        <w:bCs/>
        <w:sz w:val="22"/>
        <w:szCs w:val="22"/>
      </w:rPr>
      <w:t xml:space="preserve"> </w:t>
    </w:r>
    <w:r w:rsidR="00406132" w:rsidRPr="001029A4">
      <w:rPr>
        <w:rFonts w:ascii="Bookman Old Style" w:hAnsi="Bookman Old Style" w:cs="Arial"/>
        <w:bCs/>
        <w:sz w:val="22"/>
        <w:szCs w:val="22"/>
      </w:rPr>
      <w:tab/>
    </w:r>
    <w:r w:rsidR="00406132" w:rsidRPr="00406132">
      <w:rPr>
        <w:rFonts w:ascii="Bookman Old Style" w:hAnsi="Bookman Old Style" w:cs="Arial"/>
        <w:bCs/>
        <w:szCs w:val="24"/>
        <w:u w:val="single"/>
      </w:rPr>
      <w:t>3</w:t>
    </w:r>
    <w:r w:rsidR="004F701E" w:rsidRPr="00406132">
      <w:rPr>
        <w:rFonts w:ascii="Bookman Old Style" w:hAnsi="Bookman Old Style" w:cs="Arial"/>
        <w:bCs/>
        <w:szCs w:val="24"/>
        <w:u w:val="single"/>
      </w:rPr>
      <w:t>0</w:t>
    </w:r>
    <w:r w:rsidR="001029A4" w:rsidRPr="00406132">
      <w:rPr>
        <w:rFonts w:ascii="Bookman Old Style" w:hAnsi="Bookman Old Style" w:cs="Arial"/>
        <w:bCs/>
        <w:szCs w:val="24"/>
        <w:u w:val="single"/>
      </w:rPr>
      <w:t xml:space="preserve"> </w:t>
    </w:r>
    <w:r w:rsidR="005632B5" w:rsidRPr="00406132">
      <w:rPr>
        <w:rFonts w:ascii="Bookman Old Style" w:hAnsi="Bookman Old Style" w:cs="Arial"/>
        <w:bCs/>
        <w:szCs w:val="24"/>
        <w:u w:val="single"/>
      </w:rPr>
      <w:t>ENE</w:t>
    </w:r>
    <w:r w:rsidR="001029A4" w:rsidRPr="00406132">
      <w:rPr>
        <w:rFonts w:ascii="Bookman Old Style" w:hAnsi="Bookman Old Style" w:cs="Arial"/>
        <w:bCs/>
        <w:szCs w:val="24"/>
        <w:u w:val="single"/>
      </w:rPr>
      <w:t>.</w:t>
    </w:r>
    <w:r w:rsidR="00406132">
      <w:rPr>
        <w:rFonts w:ascii="Bookman Old Style" w:hAnsi="Bookman Old Style" w:cs="Arial"/>
        <w:bCs/>
        <w:szCs w:val="24"/>
        <w:u w:val="single"/>
      </w:rPr>
      <w:t xml:space="preserve"> </w:t>
    </w:r>
    <w:r w:rsidR="001029A4" w:rsidRPr="00406132">
      <w:rPr>
        <w:rFonts w:ascii="Bookman Old Style" w:hAnsi="Bookman Old Style" w:cs="Arial"/>
        <w:bCs/>
        <w:szCs w:val="24"/>
        <w:u w:val="single"/>
      </w:rPr>
      <w:t>202</w:t>
    </w:r>
    <w:r w:rsidR="005632B5" w:rsidRPr="00406132">
      <w:rPr>
        <w:rFonts w:ascii="Bookman Old Style" w:hAnsi="Bookman Old Style" w:cs="Arial"/>
        <w:bCs/>
        <w:szCs w:val="24"/>
        <w:u w:val="single"/>
      </w:rPr>
      <w:t>4</w:t>
    </w:r>
    <w:r w:rsidR="001029A4">
      <w:rPr>
        <w:rFonts w:ascii="Bookman Old Style" w:hAnsi="Bookman Old Style" w:cs="Arial"/>
        <w:b w:val="0"/>
        <w:sz w:val="22"/>
        <w:szCs w:val="22"/>
      </w:rPr>
      <w:t xml:space="preserve">                      </w:t>
    </w:r>
    <w:r w:rsidR="00953F10">
      <w:rPr>
        <w:rFonts w:ascii="Bookman Old Style" w:hAnsi="Bookman Old Style" w:cs="Arial"/>
        <w:b w:val="0"/>
        <w:sz w:val="22"/>
        <w:szCs w:val="22"/>
      </w:rPr>
      <w:t xml:space="preserve">   </w:t>
    </w:r>
    <w:r w:rsidR="001029A4">
      <w:rPr>
        <w:rFonts w:ascii="Bookman Old Style" w:hAnsi="Bookman Old Style" w:cs="Arial"/>
        <w:b w:val="0"/>
        <w:sz w:val="22"/>
        <w:szCs w:val="22"/>
      </w:rPr>
      <w:t xml:space="preserve"> </w:t>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5B358B">
      <w:fldChar w:fldCharType="begin"/>
    </w:r>
    <w:r w:rsidR="005B358B">
      <w:instrText xml:space="preserve"> NUMPAGES  \* MERGEFORMAT </w:instrText>
    </w:r>
    <w:r w:rsidR="005B358B">
      <w:fldChar w:fldCharType="separate"/>
    </w:r>
    <w:r w:rsidR="00F77D2D" w:rsidRPr="00F77D2D">
      <w:rPr>
        <w:rFonts w:ascii="Bookman Old Style" w:hAnsi="Bookman Old Style" w:cs="Arial"/>
        <w:b w:val="0"/>
        <w:noProof/>
        <w:sz w:val="22"/>
        <w:szCs w:val="22"/>
      </w:rPr>
      <w:t>2</w:t>
    </w:r>
    <w:r w:rsidR="005B358B">
      <w:rPr>
        <w:rFonts w:ascii="Bookman Old Style" w:hAnsi="Bookman Old Style" w:cs="Arial"/>
        <w:b w:val="0"/>
        <w:noProof/>
        <w:sz w:val="22"/>
        <w:szCs w:val="22"/>
      </w:rPr>
      <w:fldChar w:fldCharType="end"/>
    </w:r>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AA5D4" id="Rectangle 1"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60B3A91D" w14:textId="5ACDADDB" w:rsidR="00406132" w:rsidRDefault="00406132" w:rsidP="00BE63C8">
    <w:pPr>
      <w:ind w:left="0"/>
      <w:rPr>
        <w:rFonts w:ascii="Bookman Old Style" w:hAnsi="Bookman Old Style" w:cs="Arial"/>
        <w:color w:val="000000"/>
      </w:rPr>
    </w:pPr>
    <w:r w:rsidRPr="00E30F97">
      <w:rPr>
        <w:rFonts w:ascii="Bookman Old Style" w:hAnsi="Bookman Old Style" w:cs="Arial"/>
        <w:color w:val="000000"/>
      </w:rPr>
      <w:t>Por la</w:t>
    </w:r>
    <w:r w:rsidR="00BE63C8">
      <w:rPr>
        <w:rFonts w:ascii="Bookman Old Style" w:hAnsi="Bookman Old Style" w:cs="Arial"/>
        <w:color w:val="000000"/>
      </w:rPr>
      <w:t xml:space="preserve"> </w:t>
    </w:r>
    <w:r w:rsidRPr="00E30F97">
      <w:rPr>
        <w:rFonts w:ascii="Bookman Old Style" w:hAnsi="Bookman Old Style" w:cs="Arial"/>
        <w:color w:val="000000"/>
      </w:rPr>
      <w:t xml:space="preserve">cual se </w:t>
    </w:r>
    <w:r w:rsidRPr="0091532F">
      <w:rPr>
        <w:rFonts w:ascii="Bookman Old Style" w:hAnsi="Bookman Old Style" w:cs="Arial"/>
        <w:color w:val="000000"/>
      </w:rPr>
      <w:t>modifica</w:t>
    </w:r>
    <w:r>
      <w:rPr>
        <w:rFonts w:ascii="Bookman Old Style" w:hAnsi="Bookman Old Style" w:cs="Arial"/>
        <w:color w:val="000000"/>
      </w:rPr>
      <w:t>n transitoriamente</w:t>
    </w:r>
    <w:r w:rsidRPr="0091532F">
      <w:rPr>
        <w:rFonts w:ascii="Bookman Old Style" w:hAnsi="Bookman Old Style" w:cs="Arial"/>
        <w:color w:val="000000"/>
      </w:rPr>
      <w:t xml:space="preserve"> </w:t>
    </w:r>
    <w:r>
      <w:rPr>
        <w:rFonts w:ascii="Bookman Old Style" w:hAnsi="Bookman Old Style" w:cs="Arial"/>
        <w:color w:val="000000"/>
      </w:rPr>
      <w:t xml:space="preserve">los artículos 37 y 38 de la </w:t>
    </w:r>
    <w:r w:rsidRPr="0091532F">
      <w:rPr>
        <w:rFonts w:ascii="Bookman Old Style" w:hAnsi="Bookman Old Style" w:cs="Arial"/>
        <w:color w:val="000000"/>
      </w:rPr>
      <w:t xml:space="preserve">Resolución CREG </w:t>
    </w:r>
    <w:r>
      <w:rPr>
        <w:rFonts w:ascii="Bookman Old Style" w:hAnsi="Bookman Old Style" w:cs="Arial"/>
        <w:color w:val="000000"/>
      </w:rPr>
      <w:t>108</w:t>
    </w:r>
    <w:r w:rsidRPr="0091532F">
      <w:rPr>
        <w:rFonts w:ascii="Bookman Old Style" w:hAnsi="Bookman Old Style" w:cs="Arial"/>
        <w:color w:val="000000"/>
      </w:rPr>
      <w:t xml:space="preserve"> de </w:t>
    </w:r>
    <w:r>
      <w:rPr>
        <w:rFonts w:ascii="Bookman Old Style" w:hAnsi="Bookman Old Style" w:cs="Arial"/>
        <w:color w:val="000000"/>
      </w:rPr>
      <w:t>1997.</w:t>
    </w:r>
  </w:p>
  <w:p w14:paraId="16086E3D" w14:textId="071AC679" w:rsidR="0044318E" w:rsidRPr="00406132" w:rsidRDefault="00406132" w:rsidP="00406132">
    <w:pPr>
      <w:ind w:left="0"/>
      <w:jc w:val="both"/>
      <w:rPr>
        <w:rFonts w:ascii="Bookman Old Style" w:hAnsi="Bookman Old Style" w:cs="Arial"/>
        <w:color w:val="000000"/>
      </w:rPr>
    </w:pPr>
    <w:r>
      <w:rPr>
        <w:rFonts w:ascii="Bookman Old Style" w:hAnsi="Bookman Old Style" w:cs="Arial"/>
        <w:color w:val="000000"/>
      </w:rPr>
      <w:t>____________________________________________________________________________</w:t>
    </w:r>
    <w:r w:rsidRPr="00495A82">
      <w:rPr>
        <w:rFonts w:ascii="Bookman Old Style" w:hAnsi="Bookman Old Style" w:cs="Arial"/>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2A8CBFA" w:rsidR="00725FA4" w:rsidRDefault="00725FA4" w:rsidP="00973DCF">
    <w:pPr>
      <w:pStyle w:val="Encabezado"/>
      <w:ind w:left="0"/>
      <w:jc w:val="center"/>
      <w:rPr>
        <w:rFonts w:ascii="Arial" w:hAnsi="Arial" w:cs="Arial"/>
        <w:spacing w:val="20"/>
        <w:sz w:val="20"/>
      </w:rPr>
    </w:pPr>
    <w:r>
      <w:rPr>
        <w:rFonts w:ascii="Arial" w:hAnsi="Arial" w:cs="Arial"/>
        <w:spacing w:val="20"/>
        <w:sz w:val="20"/>
      </w:rPr>
      <w:t>República de Colombia</w:t>
    </w:r>
  </w:p>
  <w:p w14:paraId="273850B7" w14:textId="77777777" w:rsidR="00725FA4" w:rsidRDefault="00725FA4" w:rsidP="00953F10">
    <w:pPr>
      <w:pStyle w:val="Encabezado"/>
      <w:ind w:left="0"/>
      <w:jc w:val="center"/>
      <w:rPr>
        <w:rFonts w:ascii="Arial" w:hAnsi="Arial" w:cs="Arial"/>
        <w:spacing w:val="20"/>
        <w:sz w:val="20"/>
      </w:rPr>
    </w:pPr>
  </w:p>
  <w:p w14:paraId="367D4456" w14:textId="76DA3229" w:rsidR="00725FA4" w:rsidRDefault="00DF16F5" w:rsidP="000C7437">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0C3A1" id="Rectangle 2"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A010D2"/>
    <w:multiLevelType w:val="hybridMultilevel"/>
    <w:tmpl w:val="D59ECB0C"/>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6155BB"/>
    <w:multiLevelType w:val="multilevel"/>
    <w:tmpl w:val="7CBEF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FD0ED3"/>
    <w:multiLevelType w:val="hybridMultilevel"/>
    <w:tmpl w:val="A63A68C6"/>
    <w:lvl w:ilvl="0" w:tplc="A412B058">
      <w:start w:val="1"/>
      <w:numFmt w:val="low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5" w15:restartNumberingAfterBreak="0">
    <w:nsid w:val="4949492F"/>
    <w:multiLevelType w:val="multilevel"/>
    <w:tmpl w:val="68585E08"/>
    <w:lvl w:ilvl="0">
      <w:start w:val="1"/>
      <w:numFmt w:val="decimal"/>
      <w:lvlText w:val="%1."/>
      <w:lvlJc w:val="left"/>
      <w:pPr>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6"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8"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3"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11170427">
    <w:abstractNumId w:val="14"/>
  </w:num>
  <w:num w:numId="2" w16cid:durableId="1730573318">
    <w:abstractNumId w:val="6"/>
  </w:num>
  <w:num w:numId="3" w16cid:durableId="334572672">
    <w:abstractNumId w:val="24"/>
  </w:num>
  <w:num w:numId="4" w16cid:durableId="222954047">
    <w:abstractNumId w:val="9"/>
  </w:num>
  <w:num w:numId="5" w16cid:durableId="1663700774">
    <w:abstractNumId w:val="19"/>
  </w:num>
  <w:num w:numId="6" w16cid:durableId="609623614">
    <w:abstractNumId w:val="5"/>
  </w:num>
  <w:num w:numId="7" w16cid:durableId="1523930804">
    <w:abstractNumId w:val="3"/>
  </w:num>
  <w:num w:numId="8" w16cid:durableId="689142989">
    <w:abstractNumId w:val="21"/>
  </w:num>
  <w:num w:numId="9" w16cid:durableId="348458864">
    <w:abstractNumId w:val="20"/>
  </w:num>
  <w:num w:numId="10" w16cid:durableId="2052682881">
    <w:abstractNumId w:val="16"/>
  </w:num>
  <w:num w:numId="11" w16cid:durableId="1672028583">
    <w:abstractNumId w:val="25"/>
  </w:num>
  <w:num w:numId="12" w16cid:durableId="1880237141">
    <w:abstractNumId w:val="23"/>
  </w:num>
  <w:num w:numId="13" w16cid:durableId="672727120">
    <w:abstractNumId w:val="13"/>
  </w:num>
  <w:num w:numId="14" w16cid:durableId="2136100874">
    <w:abstractNumId w:val="2"/>
  </w:num>
  <w:num w:numId="15" w16cid:durableId="773552599">
    <w:abstractNumId w:val="17"/>
  </w:num>
  <w:num w:numId="16" w16cid:durableId="99422659">
    <w:abstractNumId w:val="1"/>
  </w:num>
  <w:num w:numId="17" w16cid:durableId="1526291639">
    <w:abstractNumId w:val="12"/>
  </w:num>
  <w:num w:numId="18" w16cid:durableId="1682655929">
    <w:abstractNumId w:val="0"/>
  </w:num>
  <w:num w:numId="19" w16cid:durableId="1232546521">
    <w:abstractNumId w:val="22"/>
  </w:num>
  <w:num w:numId="20" w16cid:durableId="1035541811">
    <w:abstractNumId w:val="18"/>
  </w:num>
  <w:num w:numId="21" w16cid:durableId="1674383021">
    <w:abstractNumId w:val="10"/>
  </w:num>
  <w:num w:numId="22" w16cid:durableId="1880900508">
    <w:abstractNumId w:val="11"/>
  </w:num>
  <w:num w:numId="23" w16cid:durableId="611254300">
    <w:abstractNumId w:val="15"/>
  </w:num>
  <w:num w:numId="24" w16cid:durableId="917179700">
    <w:abstractNumId w:val="8"/>
  </w:num>
  <w:num w:numId="25" w16cid:durableId="13851499">
    <w:abstractNumId w:val="4"/>
  </w:num>
  <w:num w:numId="26" w16cid:durableId="1916284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122DA"/>
    <w:rsid w:val="00015C05"/>
    <w:rsid w:val="000228AF"/>
    <w:rsid w:val="00025383"/>
    <w:rsid w:val="00045D3D"/>
    <w:rsid w:val="00063657"/>
    <w:rsid w:val="00070295"/>
    <w:rsid w:val="00076680"/>
    <w:rsid w:val="00076A1D"/>
    <w:rsid w:val="0008043D"/>
    <w:rsid w:val="00080456"/>
    <w:rsid w:val="0008073E"/>
    <w:rsid w:val="00090016"/>
    <w:rsid w:val="000919BD"/>
    <w:rsid w:val="00091CDB"/>
    <w:rsid w:val="000A19AC"/>
    <w:rsid w:val="000A1D07"/>
    <w:rsid w:val="000B2EC9"/>
    <w:rsid w:val="000C7437"/>
    <w:rsid w:val="000C77B2"/>
    <w:rsid w:val="000D26F8"/>
    <w:rsid w:val="000F0E0A"/>
    <w:rsid w:val="000F69D7"/>
    <w:rsid w:val="000F726A"/>
    <w:rsid w:val="001022C4"/>
    <w:rsid w:val="001029A4"/>
    <w:rsid w:val="00106654"/>
    <w:rsid w:val="00114B15"/>
    <w:rsid w:val="001208FA"/>
    <w:rsid w:val="00131AC6"/>
    <w:rsid w:val="0013526C"/>
    <w:rsid w:val="001405C6"/>
    <w:rsid w:val="00141013"/>
    <w:rsid w:val="00142347"/>
    <w:rsid w:val="001516FA"/>
    <w:rsid w:val="00153788"/>
    <w:rsid w:val="00164858"/>
    <w:rsid w:val="00177AE8"/>
    <w:rsid w:val="00192CBF"/>
    <w:rsid w:val="00192DFB"/>
    <w:rsid w:val="00192FF1"/>
    <w:rsid w:val="001A5DE5"/>
    <w:rsid w:val="001A5F1B"/>
    <w:rsid w:val="001A64EA"/>
    <w:rsid w:val="001B0383"/>
    <w:rsid w:val="001B1C22"/>
    <w:rsid w:val="001B34C6"/>
    <w:rsid w:val="001C6783"/>
    <w:rsid w:val="001D0B9B"/>
    <w:rsid w:val="001D7832"/>
    <w:rsid w:val="001E0AEE"/>
    <w:rsid w:val="001F4405"/>
    <w:rsid w:val="001F76C7"/>
    <w:rsid w:val="002015E0"/>
    <w:rsid w:val="00210DC1"/>
    <w:rsid w:val="00211C1F"/>
    <w:rsid w:val="00211D34"/>
    <w:rsid w:val="00214F04"/>
    <w:rsid w:val="00216A17"/>
    <w:rsid w:val="002228EF"/>
    <w:rsid w:val="00223381"/>
    <w:rsid w:val="0022607B"/>
    <w:rsid w:val="002352B9"/>
    <w:rsid w:val="00247776"/>
    <w:rsid w:val="00266CD6"/>
    <w:rsid w:val="002673AC"/>
    <w:rsid w:val="00267498"/>
    <w:rsid w:val="00270250"/>
    <w:rsid w:val="00275DAB"/>
    <w:rsid w:val="002903C0"/>
    <w:rsid w:val="002A782A"/>
    <w:rsid w:val="002B11E2"/>
    <w:rsid w:val="002B2092"/>
    <w:rsid w:val="002B24B8"/>
    <w:rsid w:val="002B2681"/>
    <w:rsid w:val="002B7A25"/>
    <w:rsid w:val="002C4CE5"/>
    <w:rsid w:val="002D3AE9"/>
    <w:rsid w:val="002D4510"/>
    <w:rsid w:val="002F0734"/>
    <w:rsid w:val="002F175F"/>
    <w:rsid w:val="002F46E7"/>
    <w:rsid w:val="002F79F9"/>
    <w:rsid w:val="00302B5F"/>
    <w:rsid w:val="003075A0"/>
    <w:rsid w:val="003101DA"/>
    <w:rsid w:val="003111C3"/>
    <w:rsid w:val="00312B65"/>
    <w:rsid w:val="00314757"/>
    <w:rsid w:val="003163BC"/>
    <w:rsid w:val="003211CE"/>
    <w:rsid w:val="00341DD2"/>
    <w:rsid w:val="003422C9"/>
    <w:rsid w:val="0035403A"/>
    <w:rsid w:val="003635FC"/>
    <w:rsid w:val="0036394B"/>
    <w:rsid w:val="00366D0E"/>
    <w:rsid w:val="00366DB6"/>
    <w:rsid w:val="003709B5"/>
    <w:rsid w:val="003759C2"/>
    <w:rsid w:val="003947BA"/>
    <w:rsid w:val="00397365"/>
    <w:rsid w:val="003A2E02"/>
    <w:rsid w:val="003A31F6"/>
    <w:rsid w:val="003B66A0"/>
    <w:rsid w:val="003C2364"/>
    <w:rsid w:val="003C2405"/>
    <w:rsid w:val="003C3447"/>
    <w:rsid w:val="003C7E83"/>
    <w:rsid w:val="003D076C"/>
    <w:rsid w:val="003D6F10"/>
    <w:rsid w:val="003E3F4A"/>
    <w:rsid w:val="003E78B5"/>
    <w:rsid w:val="003F3C7B"/>
    <w:rsid w:val="00404595"/>
    <w:rsid w:val="00406132"/>
    <w:rsid w:val="004110C5"/>
    <w:rsid w:val="00415BAB"/>
    <w:rsid w:val="00415ED2"/>
    <w:rsid w:val="0042068C"/>
    <w:rsid w:val="00423152"/>
    <w:rsid w:val="0042414A"/>
    <w:rsid w:val="00426774"/>
    <w:rsid w:val="00431E3D"/>
    <w:rsid w:val="00434137"/>
    <w:rsid w:val="00436E9B"/>
    <w:rsid w:val="0044318E"/>
    <w:rsid w:val="00443B35"/>
    <w:rsid w:val="00452C18"/>
    <w:rsid w:val="0045488D"/>
    <w:rsid w:val="0047122B"/>
    <w:rsid w:val="004726E2"/>
    <w:rsid w:val="00473B7A"/>
    <w:rsid w:val="004848E9"/>
    <w:rsid w:val="00487C44"/>
    <w:rsid w:val="004911C5"/>
    <w:rsid w:val="00493C2C"/>
    <w:rsid w:val="004960E9"/>
    <w:rsid w:val="004A2E88"/>
    <w:rsid w:val="004A5305"/>
    <w:rsid w:val="004B2DC4"/>
    <w:rsid w:val="004B3341"/>
    <w:rsid w:val="004C08A5"/>
    <w:rsid w:val="004D2DC8"/>
    <w:rsid w:val="004D47F6"/>
    <w:rsid w:val="004D7634"/>
    <w:rsid w:val="004E611A"/>
    <w:rsid w:val="004F6460"/>
    <w:rsid w:val="004F701E"/>
    <w:rsid w:val="005012C0"/>
    <w:rsid w:val="005147AA"/>
    <w:rsid w:val="00514AD8"/>
    <w:rsid w:val="005300D3"/>
    <w:rsid w:val="00542A10"/>
    <w:rsid w:val="00544F82"/>
    <w:rsid w:val="005509D2"/>
    <w:rsid w:val="00552C6E"/>
    <w:rsid w:val="00557F91"/>
    <w:rsid w:val="005632B5"/>
    <w:rsid w:val="00591154"/>
    <w:rsid w:val="00593C4F"/>
    <w:rsid w:val="005946A8"/>
    <w:rsid w:val="005A4407"/>
    <w:rsid w:val="005A59EF"/>
    <w:rsid w:val="005A6FE4"/>
    <w:rsid w:val="005B08C3"/>
    <w:rsid w:val="005B1C7E"/>
    <w:rsid w:val="005B358B"/>
    <w:rsid w:val="005B7071"/>
    <w:rsid w:val="005C5DD0"/>
    <w:rsid w:val="005C6976"/>
    <w:rsid w:val="005E4E58"/>
    <w:rsid w:val="005F6F41"/>
    <w:rsid w:val="00625DC6"/>
    <w:rsid w:val="00631810"/>
    <w:rsid w:val="0063284F"/>
    <w:rsid w:val="0064054B"/>
    <w:rsid w:val="0064391D"/>
    <w:rsid w:val="00651821"/>
    <w:rsid w:val="00654384"/>
    <w:rsid w:val="00663058"/>
    <w:rsid w:val="006654CA"/>
    <w:rsid w:val="0066562C"/>
    <w:rsid w:val="006675CD"/>
    <w:rsid w:val="006716CE"/>
    <w:rsid w:val="00681D9D"/>
    <w:rsid w:val="00684095"/>
    <w:rsid w:val="00684D9B"/>
    <w:rsid w:val="0068510A"/>
    <w:rsid w:val="006913D6"/>
    <w:rsid w:val="00695976"/>
    <w:rsid w:val="00695F63"/>
    <w:rsid w:val="00697556"/>
    <w:rsid w:val="006B4647"/>
    <w:rsid w:val="006B4C2B"/>
    <w:rsid w:val="006B4C6E"/>
    <w:rsid w:val="006B6194"/>
    <w:rsid w:val="006B6D47"/>
    <w:rsid w:val="006C5AFE"/>
    <w:rsid w:val="006D297A"/>
    <w:rsid w:val="006F2EC8"/>
    <w:rsid w:val="006F6D95"/>
    <w:rsid w:val="00706F13"/>
    <w:rsid w:val="007072E8"/>
    <w:rsid w:val="00707F76"/>
    <w:rsid w:val="0071618D"/>
    <w:rsid w:val="007219A4"/>
    <w:rsid w:val="00725C16"/>
    <w:rsid w:val="00725FA4"/>
    <w:rsid w:val="0072629B"/>
    <w:rsid w:val="00740446"/>
    <w:rsid w:val="007438A9"/>
    <w:rsid w:val="0074491E"/>
    <w:rsid w:val="00750A7C"/>
    <w:rsid w:val="0076098B"/>
    <w:rsid w:val="00760DB3"/>
    <w:rsid w:val="0076247A"/>
    <w:rsid w:val="00764080"/>
    <w:rsid w:val="00775964"/>
    <w:rsid w:val="007765FE"/>
    <w:rsid w:val="0078062E"/>
    <w:rsid w:val="00786BFA"/>
    <w:rsid w:val="00794E2E"/>
    <w:rsid w:val="00794FBE"/>
    <w:rsid w:val="0079551E"/>
    <w:rsid w:val="00795BFB"/>
    <w:rsid w:val="007A06E8"/>
    <w:rsid w:val="007A6181"/>
    <w:rsid w:val="007B1830"/>
    <w:rsid w:val="007B2565"/>
    <w:rsid w:val="007B2760"/>
    <w:rsid w:val="007B3539"/>
    <w:rsid w:val="007B4D7A"/>
    <w:rsid w:val="007B5A60"/>
    <w:rsid w:val="007B7AC6"/>
    <w:rsid w:val="007C0141"/>
    <w:rsid w:val="007C33D1"/>
    <w:rsid w:val="007C6C69"/>
    <w:rsid w:val="007C6F44"/>
    <w:rsid w:val="007D1CB8"/>
    <w:rsid w:val="007E0E3A"/>
    <w:rsid w:val="007E28EA"/>
    <w:rsid w:val="00805175"/>
    <w:rsid w:val="00806C01"/>
    <w:rsid w:val="008148CC"/>
    <w:rsid w:val="008211A4"/>
    <w:rsid w:val="008211C9"/>
    <w:rsid w:val="00835904"/>
    <w:rsid w:val="0084693A"/>
    <w:rsid w:val="0086129F"/>
    <w:rsid w:val="00863777"/>
    <w:rsid w:val="00873150"/>
    <w:rsid w:val="00873CC7"/>
    <w:rsid w:val="0087657D"/>
    <w:rsid w:val="00876703"/>
    <w:rsid w:val="008807D5"/>
    <w:rsid w:val="00880832"/>
    <w:rsid w:val="00886EE1"/>
    <w:rsid w:val="00887086"/>
    <w:rsid w:val="0088727D"/>
    <w:rsid w:val="00897C75"/>
    <w:rsid w:val="008C04E0"/>
    <w:rsid w:val="008C1130"/>
    <w:rsid w:val="008C4F8B"/>
    <w:rsid w:val="008D18E6"/>
    <w:rsid w:val="008D7A9B"/>
    <w:rsid w:val="008E0060"/>
    <w:rsid w:val="008E69E3"/>
    <w:rsid w:val="008E7091"/>
    <w:rsid w:val="008E76AC"/>
    <w:rsid w:val="008E7F6F"/>
    <w:rsid w:val="008F21F6"/>
    <w:rsid w:val="008F3246"/>
    <w:rsid w:val="008F51C0"/>
    <w:rsid w:val="00900370"/>
    <w:rsid w:val="00900534"/>
    <w:rsid w:val="00902AAA"/>
    <w:rsid w:val="009101AF"/>
    <w:rsid w:val="00910995"/>
    <w:rsid w:val="00922F74"/>
    <w:rsid w:val="00924746"/>
    <w:rsid w:val="00926ADE"/>
    <w:rsid w:val="00943A1F"/>
    <w:rsid w:val="00951F79"/>
    <w:rsid w:val="00953F10"/>
    <w:rsid w:val="00973DCF"/>
    <w:rsid w:val="00974AB5"/>
    <w:rsid w:val="00980CF2"/>
    <w:rsid w:val="0098706D"/>
    <w:rsid w:val="00987633"/>
    <w:rsid w:val="009935FB"/>
    <w:rsid w:val="009A3BF6"/>
    <w:rsid w:val="009C4799"/>
    <w:rsid w:val="009C7C7B"/>
    <w:rsid w:val="009F1A35"/>
    <w:rsid w:val="009F4A54"/>
    <w:rsid w:val="009F4BEC"/>
    <w:rsid w:val="009F5874"/>
    <w:rsid w:val="00A04A71"/>
    <w:rsid w:val="00A06511"/>
    <w:rsid w:val="00A17848"/>
    <w:rsid w:val="00A20F7F"/>
    <w:rsid w:val="00A25D09"/>
    <w:rsid w:val="00A25FD7"/>
    <w:rsid w:val="00A43AFF"/>
    <w:rsid w:val="00A468C5"/>
    <w:rsid w:val="00A52CA9"/>
    <w:rsid w:val="00A5331F"/>
    <w:rsid w:val="00A5703E"/>
    <w:rsid w:val="00A70FBE"/>
    <w:rsid w:val="00A73FA0"/>
    <w:rsid w:val="00A7793A"/>
    <w:rsid w:val="00A873AE"/>
    <w:rsid w:val="00AA4CC7"/>
    <w:rsid w:val="00AA585B"/>
    <w:rsid w:val="00AA5E8E"/>
    <w:rsid w:val="00AB2BAD"/>
    <w:rsid w:val="00AB6CA7"/>
    <w:rsid w:val="00AD01E4"/>
    <w:rsid w:val="00AD0858"/>
    <w:rsid w:val="00AE02E3"/>
    <w:rsid w:val="00AE7340"/>
    <w:rsid w:val="00AF1BBD"/>
    <w:rsid w:val="00AF477A"/>
    <w:rsid w:val="00B0718C"/>
    <w:rsid w:val="00B10207"/>
    <w:rsid w:val="00B141E7"/>
    <w:rsid w:val="00B174C8"/>
    <w:rsid w:val="00B351B4"/>
    <w:rsid w:val="00B41649"/>
    <w:rsid w:val="00B44FA5"/>
    <w:rsid w:val="00B46BCA"/>
    <w:rsid w:val="00B478AA"/>
    <w:rsid w:val="00B87806"/>
    <w:rsid w:val="00B87EC9"/>
    <w:rsid w:val="00B90372"/>
    <w:rsid w:val="00BB3336"/>
    <w:rsid w:val="00BC38FD"/>
    <w:rsid w:val="00BD777C"/>
    <w:rsid w:val="00BE63C8"/>
    <w:rsid w:val="00BF7E56"/>
    <w:rsid w:val="00C02C5C"/>
    <w:rsid w:val="00C034CB"/>
    <w:rsid w:val="00C0382D"/>
    <w:rsid w:val="00C051A8"/>
    <w:rsid w:val="00C054BC"/>
    <w:rsid w:val="00C17897"/>
    <w:rsid w:val="00C23569"/>
    <w:rsid w:val="00C409D5"/>
    <w:rsid w:val="00C435C3"/>
    <w:rsid w:val="00C44E5F"/>
    <w:rsid w:val="00C51B7C"/>
    <w:rsid w:val="00C56B02"/>
    <w:rsid w:val="00C6234B"/>
    <w:rsid w:val="00C63EAE"/>
    <w:rsid w:val="00C703CB"/>
    <w:rsid w:val="00C716A4"/>
    <w:rsid w:val="00C73260"/>
    <w:rsid w:val="00C7629F"/>
    <w:rsid w:val="00C85EEA"/>
    <w:rsid w:val="00C8661B"/>
    <w:rsid w:val="00C872F2"/>
    <w:rsid w:val="00C9687F"/>
    <w:rsid w:val="00C96D17"/>
    <w:rsid w:val="00CA03C8"/>
    <w:rsid w:val="00CA139A"/>
    <w:rsid w:val="00CA2899"/>
    <w:rsid w:val="00CA3A3D"/>
    <w:rsid w:val="00CA3AA6"/>
    <w:rsid w:val="00CA77FB"/>
    <w:rsid w:val="00CB379B"/>
    <w:rsid w:val="00CB5DD0"/>
    <w:rsid w:val="00CC5095"/>
    <w:rsid w:val="00CC51D4"/>
    <w:rsid w:val="00CC65DA"/>
    <w:rsid w:val="00CD7008"/>
    <w:rsid w:val="00CE0D0A"/>
    <w:rsid w:val="00CE55AE"/>
    <w:rsid w:val="00CF21B9"/>
    <w:rsid w:val="00CF6BF9"/>
    <w:rsid w:val="00D03800"/>
    <w:rsid w:val="00D065D3"/>
    <w:rsid w:val="00D14C94"/>
    <w:rsid w:val="00D32526"/>
    <w:rsid w:val="00D342A6"/>
    <w:rsid w:val="00D45CA6"/>
    <w:rsid w:val="00D464BF"/>
    <w:rsid w:val="00D53E26"/>
    <w:rsid w:val="00D54AC1"/>
    <w:rsid w:val="00D60EAF"/>
    <w:rsid w:val="00D66DAB"/>
    <w:rsid w:val="00D71377"/>
    <w:rsid w:val="00D80F8C"/>
    <w:rsid w:val="00D83F43"/>
    <w:rsid w:val="00D855D6"/>
    <w:rsid w:val="00D91118"/>
    <w:rsid w:val="00D937E0"/>
    <w:rsid w:val="00DA48FA"/>
    <w:rsid w:val="00DB182C"/>
    <w:rsid w:val="00DC2E4D"/>
    <w:rsid w:val="00DC5EF6"/>
    <w:rsid w:val="00DC6727"/>
    <w:rsid w:val="00DD4CB3"/>
    <w:rsid w:val="00DD4F0E"/>
    <w:rsid w:val="00DF0BF0"/>
    <w:rsid w:val="00DF16F5"/>
    <w:rsid w:val="00DF240E"/>
    <w:rsid w:val="00DF3CA2"/>
    <w:rsid w:val="00DF753F"/>
    <w:rsid w:val="00E002BC"/>
    <w:rsid w:val="00E01463"/>
    <w:rsid w:val="00E05E0A"/>
    <w:rsid w:val="00E060BE"/>
    <w:rsid w:val="00E11CE7"/>
    <w:rsid w:val="00E21F52"/>
    <w:rsid w:val="00E24BEC"/>
    <w:rsid w:val="00E323F2"/>
    <w:rsid w:val="00E44100"/>
    <w:rsid w:val="00E45057"/>
    <w:rsid w:val="00E506B7"/>
    <w:rsid w:val="00E52846"/>
    <w:rsid w:val="00E534CF"/>
    <w:rsid w:val="00E63920"/>
    <w:rsid w:val="00E804F1"/>
    <w:rsid w:val="00E81CB4"/>
    <w:rsid w:val="00E8585B"/>
    <w:rsid w:val="00E87F41"/>
    <w:rsid w:val="00E954EA"/>
    <w:rsid w:val="00E96BCB"/>
    <w:rsid w:val="00EA3F15"/>
    <w:rsid w:val="00EA7847"/>
    <w:rsid w:val="00EA7863"/>
    <w:rsid w:val="00EA7BF9"/>
    <w:rsid w:val="00EB49D0"/>
    <w:rsid w:val="00EB4C2F"/>
    <w:rsid w:val="00EC429F"/>
    <w:rsid w:val="00ED0D6B"/>
    <w:rsid w:val="00EE2E6E"/>
    <w:rsid w:val="00EE416E"/>
    <w:rsid w:val="00EF035B"/>
    <w:rsid w:val="00EF5D57"/>
    <w:rsid w:val="00F06048"/>
    <w:rsid w:val="00F0759E"/>
    <w:rsid w:val="00F16A43"/>
    <w:rsid w:val="00F32D92"/>
    <w:rsid w:val="00F42347"/>
    <w:rsid w:val="00F46780"/>
    <w:rsid w:val="00F55DB1"/>
    <w:rsid w:val="00F70DF1"/>
    <w:rsid w:val="00F75108"/>
    <w:rsid w:val="00F77D2D"/>
    <w:rsid w:val="00F821A3"/>
    <w:rsid w:val="00F822A5"/>
    <w:rsid w:val="00F84A78"/>
    <w:rsid w:val="00F86E77"/>
    <w:rsid w:val="00F9314A"/>
    <w:rsid w:val="00F940B2"/>
    <w:rsid w:val="00FA56CE"/>
    <w:rsid w:val="00FB27D9"/>
    <w:rsid w:val="00FC07D5"/>
    <w:rsid w:val="00FC58EF"/>
    <w:rsid w:val="00FD33DF"/>
    <w:rsid w:val="00FE11E8"/>
    <w:rsid w:val="00FE39D7"/>
    <w:rsid w:val="00FF7657"/>
    <w:rsid w:val="0A891739"/>
    <w:rsid w:val="235A47DC"/>
    <w:rsid w:val="2365FDA5"/>
    <w:rsid w:val="29D4F5BD"/>
    <w:rsid w:val="2AA8E23E"/>
    <w:rsid w:val="32156DEC"/>
    <w:rsid w:val="46A91F1F"/>
    <w:rsid w:val="4B654CCB"/>
    <w:rsid w:val="7328E4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customStyle="1" w:styleId="mord">
    <w:name w:val="mord"/>
    <w:basedOn w:val="Fuentedeprrafopredeter"/>
    <w:rsid w:val="004110C5"/>
  </w:style>
  <w:style w:type="character" w:customStyle="1" w:styleId="vlist-s">
    <w:name w:val="vlist-s"/>
    <w:basedOn w:val="Fuentedeprrafopredeter"/>
    <w:rsid w:val="004110C5"/>
  </w:style>
  <w:style w:type="character" w:customStyle="1" w:styleId="mrel">
    <w:name w:val="mrel"/>
    <w:basedOn w:val="Fuentedeprrafopredeter"/>
    <w:rsid w:val="004110C5"/>
  </w:style>
  <w:style w:type="character" w:customStyle="1" w:styleId="mopen">
    <w:name w:val="mopen"/>
    <w:basedOn w:val="Fuentedeprrafopredeter"/>
    <w:rsid w:val="004110C5"/>
  </w:style>
  <w:style w:type="character" w:customStyle="1" w:styleId="mbin">
    <w:name w:val="mbin"/>
    <w:basedOn w:val="Fuentedeprrafopredeter"/>
    <w:rsid w:val="004110C5"/>
  </w:style>
  <w:style w:type="character" w:customStyle="1" w:styleId="mop">
    <w:name w:val="mop"/>
    <w:basedOn w:val="Fuentedeprrafopredeter"/>
    <w:rsid w:val="004110C5"/>
  </w:style>
  <w:style w:type="character" w:customStyle="1" w:styleId="mclose">
    <w:name w:val="mclose"/>
    <w:basedOn w:val="Fuentedeprrafopredeter"/>
    <w:rsid w:val="004110C5"/>
  </w:style>
  <w:style w:type="character" w:styleId="Textoennegrita">
    <w:name w:val="Strong"/>
    <w:basedOn w:val="Fuentedeprrafopredeter"/>
    <w:uiPriority w:val="22"/>
    <w:qFormat/>
    <w:rsid w:val="004110C5"/>
    <w:rPr>
      <w:b/>
      <w:bCs/>
    </w:rPr>
  </w:style>
  <w:style w:type="character" w:customStyle="1" w:styleId="contentpasted0">
    <w:name w:val="contentpasted0"/>
    <w:basedOn w:val="Fuentedeprrafopredeter"/>
    <w:rsid w:val="00452C18"/>
  </w:style>
  <w:style w:type="paragraph" w:styleId="Revisin">
    <w:name w:val="Revision"/>
    <w:hidden/>
    <w:uiPriority w:val="99"/>
    <w:semiHidden/>
    <w:rsid w:val="00F84A78"/>
    <w:rPr>
      <w:sz w:val="24"/>
      <w:szCs w:val="24"/>
      <w:lang w:val="es-ES" w:eastAsia="es-ES"/>
    </w:rPr>
  </w:style>
  <w:style w:type="character" w:customStyle="1" w:styleId="ui-provider">
    <w:name w:val="ui-provider"/>
    <w:basedOn w:val="Fuentedeprrafopredeter"/>
    <w:rsid w:val="00F84A78"/>
  </w:style>
  <w:style w:type="character" w:customStyle="1" w:styleId="contentpasted2">
    <w:name w:val="contentpasted2"/>
    <w:basedOn w:val="Fuentedeprrafopredeter"/>
    <w:rsid w:val="00E954EA"/>
  </w:style>
  <w:style w:type="character" w:customStyle="1" w:styleId="contentpasted6">
    <w:name w:val="contentpasted6"/>
    <w:basedOn w:val="Fuentedeprrafopredeter"/>
    <w:rsid w:val="00E954EA"/>
  </w:style>
  <w:style w:type="character" w:customStyle="1" w:styleId="contentpasted3">
    <w:name w:val="contentpasted3"/>
    <w:basedOn w:val="Fuentedeprrafopredeter"/>
    <w:rsid w:val="00E954EA"/>
  </w:style>
  <w:style w:type="character" w:customStyle="1" w:styleId="contentpasted5">
    <w:name w:val="contentpasted5"/>
    <w:basedOn w:val="Fuentedeprrafopredeter"/>
    <w:rsid w:val="00E954EA"/>
  </w:style>
  <w:style w:type="character" w:customStyle="1" w:styleId="contentpasted8">
    <w:name w:val="contentpasted8"/>
    <w:basedOn w:val="Fuentedeprrafopredeter"/>
    <w:rsid w:val="00E954EA"/>
  </w:style>
  <w:style w:type="character" w:customStyle="1" w:styleId="contentpasted7">
    <w:name w:val="contentpasted7"/>
    <w:basedOn w:val="Fuentedeprrafopredeter"/>
    <w:rsid w:val="00E954EA"/>
  </w:style>
  <w:style w:type="character" w:customStyle="1" w:styleId="contentpasted9">
    <w:name w:val="contentpasted9"/>
    <w:basedOn w:val="Fuentedeprrafopredeter"/>
    <w:rsid w:val="00E954EA"/>
  </w:style>
  <w:style w:type="character" w:customStyle="1" w:styleId="contentpasted10">
    <w:name w:val="contentpasted10"/>
    <w:basedOn w:val="Fuentedeprrafopredeter"/>
    <w:rsid w:val="00E954EA"/>
  </w:style>
  <w:style w:type="character" w:styleId="Textodelmarcadordeposicin">
    <w:name w:val="Placeholder Text"/>
    <w:basedOn w:val="Fuentedeprrafopredeter"/>
    <w:uiPriority w:val="99"/>
    <w:semiHidden/>
    <w:rsid w:val="00A52CA9"/>
    <w:rPr>
      <w:color w:val="666666"/>
    </w:rPr>
  </w:style>
  <w:style w:type="paragraph" w:styleId="NormalWeb">
    <w:name w:val="Normal (Web)"/>
    <w:basedOn w:val="Normal"/>
    <w:uiPriority w:val="99"/>
    <w:semiHidden/>
    <w:unhideWhenUsed/>
    <w:rsid w:val="0076098B"/>
    <w:pPr>
      <w:spacing w:before="100" w:beforeAutospacing="1" w:after="100" w:afterAutospacing="1"/>
      <w:ind w:left="0"/>
    </w:pPr>
    <w:rPr>
      <w:lang w:val="es-CO" w:eastAsia="es-CO"/>
    </w:rPr>
  </w:style>
  <w:style w:type="character" w:customStyle="1" w:styleId="iaj">
    <w:name w:val="i_aj"/>
    <w:basedOn w:val="Fuentedeprrafopredeter"/>
    <w:rsid w:val="0076098B"/>
  </w:style>
  <w:style w:type="character" w:styleId="Refdecomentario">
    <w:name w:val="annotation reference"/>
    <w:basedOn w:val="Fuentedeprrafopredeter"/>
    <w:uiPriority w:val="99"/>
    <w:semiHidden/>
    <w:unhideWhenUsed/>
    <w:rsid w:val="00D60EAF"/>
    <w:rPr>
      <w:sz w:val="16"/>
      <w:szCs w:val="16"/>
    </w:rPr>
  </w:style>
  <w:style w:type="paragraph" w:styleId="Textocomentario">
    <w:name w:val="annotation text"/>
    <w:basedOn w:val="Normal"/>
    <w:link w:val="TextocomentarioCar"/>
    <w:uiPriority w:val="99"/>
    <w:semiHidden/>
    <w:unhideWhenUsed/>
    <w:rsid w:val="00D60EAF"/>
    <w:rPr>
      <w:sz w:val="20"/>
      <w:szCs w:val="20"/>
    </w:rPr>
  </w:style>
  <w:style w:type="character" w:customStyle="1" w:styleId="TextocomentarioCar">
    <w:name w:val="Texto comentario Car"/>
    <w:basedOn w:val="Fuentedeprrafopredeter"/>
    <w:link w:val="Textocomentario"/>
    <w:uiPriority w:val="99"/>
    <w:semiHidden/>
    <w:rsid w:val="00D60EAF"/>
    <w:rPr>
      <w:lang w:val="es-ES" w:eastAsia="es-ES"/>
    </w:rPr>
  </w:style>
  <w:style w:type="paragraph" w:styleId="Asuntodelcomentario">
    <w:name w:val="annotation subject"/>
    <w:basedOn w:val="Textocomentario"/>
    <w:next w:val="Textocomentario"/>
    <w:link w:val="AsuntodelcomentarioCar"/>
    <w:uiPriority w:val="99"/>
    <w:semiHidden/>
    <w:unhideWhenUsed/>
    <w:rsid w:val="00D60EAF"/>
    <w:rPr>
      <w:b/>
      <w:bCs/>
    </w:rPr>
  </w:style>
  <w:style w:type="character" w:customStyle="1" w:styleId="AsuntodelcomentarioCar">
    <w:name w:val="Asunto del comentario Car"/>
    <w:basedOn w:val="TextocomentarioCar"/>
    <w:link w:val="Asuntodelcomentario"/>
    <w:uiPriority w:val="99"/>
    <w:semiHidden/>
    <w:rsid w:val="00D60EAF"/>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242306">
      <w:bodyDiv w:val="1"/>
      <w:marLeft w:val="0"/>
      <w:marRight w:val="0"/>
      <w:marTop w:val="0"/>
      <w:marBottom w:val="0"/>
      <w:divBdr>
        <w:top w:val="none" w:sz="0" w:space="0" w:color="auto"/>
        <w:left w:val="none" w:sz="0" w:space="0" w:color="auto"/>
        <w:bottom w:val="none" w:sz="0" w:space="0" w:color="auto"/>
        <w:right w:val="none" w:sz="0" w:space="0" w:color="auto"/>
      </w:divBdr>
    </w:div>
    <w:div w:id="652877093">
      <w:bodyDiv w:val="1"/>
      <w:marLeft w:val="0"/>
      <w:marRight w:val="0"/>
      <w:marTop w:val="0"/>
      <w:marBottom w:val="0"/>
      <w:divBdr>
        <w:top w:val="none" w:sz="0" w:space="0" w:color="auto"/>
        <w:left w:val="none" w:sz="0" w:space="0" w:color="auto"/>
        <w:bottom w:val="none" w:sz="0" w:space="0" w:color="auto"/>
        <w:right w:val="none" w:sz="0" w:space="0" w:color="auto"/>
      </w:divBdr>
    </w:div>
    <w:div w:id="798960162">
      <w:bodyDiv w:val="1"/>
      <w:marLeft w:val="0"/>
      <w:marRight w:val="0"/>
      <w:marTop w:val="0"/>
      <w:marBottom w:val="0"/>
      <w:divBdr>
        <w:top w:val="none" w:sz="0" w:space="0" w:color="auto"/>
        <w:left w:val="none" w:sz="0" w:space="0" w:color="auto"/>
        <w:bottom w:val="none" w:sz="0" w:space="0" w:color="auto"/>
        <w:right w:val="none" w:sz="0" w:space="0" w:color="auto"/>
      </w:divBdr>
      <w:divsChild>
        <w:div w:id="1206059839">
          <w:marLeft w:val="0"/>
          <w:marRight w:val="0"/>
          <w:marTop w:val="0"/>
          <w:marBottom w:val="0"/>
          <w:divBdr>
            <w:top w:val="none" w:sz="0" w:space="0" w:color="auto"/>
            <w:left w:val="none" w:sz="0" w:space="0" w:color="auto"/>
            <w:bottom w:val="none" w:sz="0" w:space="0" w:color="auto"/>
            <w:right w:val="none" w:sz="0" w:space="0" w:color="auto"/>
          </w:divBdr>
          <w:divsChild>
            <w:div w:id="424806265">
              <w:marLeft w:val="0"/>
              <w:marRight w:val="0"/>
              <w:marTop w:val="0"/>
              <w:marBottom w:val="480"/>
              <w:divBdr>
                <w:top w:val="none" w:sz="0" w:space="0" w:color="auto"/>
                <w:left w:val="none" w:sz="0" w:space="0" w:color="auto"/>
                <w:bottom w:val="none" w:sz="0" w:space="0" w:color="auto"/>
                <w:right w:val="none" w:sz="0" w:space="0" w:color="auto"/>
              </w:divBdr>
            </w:div>
          </w:divsChild>
        </w:div>
        <w:div w:id="1540631634">
          <w:marLeft w:val="0"/>
          <w:marRight w:val="0"/>
          <w:marTop w:val="0"/>
          <w:marBottom w:val="0"/>
          <w:divBdr>
            <w:top w:val="none" w:sz="0" w:space="0" w:color="auto"/>
            <w:left w:val="none" w:sz="0" w:space="0" w:color="auto"/>
            <w:bottom w:val="none" w:sz="0" w:space="0" w:color="auto"/>
            <w:right w:val="none" w:sz="0" w:space="0" w:color="auto"/>
          </w:divBdr>
          <w:divsChild>
            <w:div w:id="187841259">
              <w:marLeft w:val="0"/>
              <w:marRight w:val="0"/>
              <w:marTop w:val="0"/>
              <w:marBottom w:val="480"/>
              <w:divBdr>
                <w:top w:val="none" w:sz="0" w:space="0" w:color="auto"/>
                <w:left w:val="none" w:sz="0" w:space="0" w:color="auto"/>
                <w:bottom w:val="none" w:sz="0" w:space="0" w:color="auto"/>
                <w:right w:val="none" w:sz="0" w:space="0" w:color="auto"/>
              </w:divBdr>
            </w:div>
          </w:divsChild>
        </w:div>
        <w:div w:id="438184451">
          <w:marLeft w:val="0"/>
          <w:marRight w:val="0"/>
          <w:marTop w:val="0"/>
          <w:marBottom w:val="0"/>
          <w:divBdr>
            <w:top w:val="none" w:sz="0" w:space="0" w:color="auto"/>
            <w:left w:val="none" w:sz="0" w:space="0" w:color="auto"/>
            <w:bottom w:val="none" w:sz="0" w:space="0" w:color="auto"/>
            <w:right w:val="none" w:sz="0" w:space="0" w:color="auto"/>
          </w:divBdr>
          <w:divsChild>
            <w:div w:id="1745107252">
              <w:marLeft w:val="0"/>
              <w:marRight w:val="0"/>
              <w:marTop w:val="0"/>
              <w:marBottom w:val="480"/>
              <w:divBdr>
                <w:top w:val="none" w:sz="0" w:space="0" w:color="auto"/>
                <w:left w:val="none" w:sz="0" w:space="0" w:color="auto"/>
                <w:bottom w:val="none" w:sz="0" w:space="0" w:color="auto"/>
                <w:right w:val="none" w:sz="0" w:space="0" w:color="auto"/>
              </w:divBdr>
            </w:div>
          </w:divsChild>
        </w:div>
        <w:div w:id="1776241600">
          <w:marLeft w:val="0"/>
          <w:marRight w:val="0"/>
          <w:marTop w:val="0"/>
          <w:marBottom w:val="0"/>
          <w:divBdr>
            <w:top w:val="none" w:sz="0" w:space="0" w:color="auto"/>
            <w:left w:val="none" w:sz="0" w:space="0" w:color="auto"/>
            <w:bottom w:val="none" w:sz="0" w:space="0" w:color="auto"/>
            <w:right w:val="none" w:sz="0" w:space="0" w:color="auto"/>
          </w:divBdr>
          <w:divsChild>
            <w:div w:id="1309289728">
              <w:marLeft w:val="0"/>
              <w:marRight w:val="0"/>
              <w:marTop w:val="0"/>
              <w:marBottom w:val="480"/>
              <w:divBdr>
                <w:top w:val="none" w:sz="0" w:space="0" w:color="auto"/>
                <w:left w:val="none" w:sz="0" w:space="0" w:color="auto"/>
                <w:bottom w:val="none" w:sz="0" w:space="0" w:color="auto"/>
                <w:right w:val="none" w:sz="0" w:space="0" w:color="auto"/>
              </w:divBdr>
            </w:div>
          </w:divsChild>
        </w:div>
        <w:div w:id="507451555">
          <w:marLeft w:val="0"/>
          <w:marRight w:val="0"/>
          <w:marTop w:val="0"/>
          <w:marBottom w:val="0"/>
          <w:divBdr>
            <w:top w:val="none" w:sz="0" w:space="0" w:color="auto"/>
            <w:left w:val="none" w:sz="0" w:space="0" w:color="auto"/>
            <w:bottom w:val="none" w:sz="0" w:space="0" w:color="auto"/>
            <w:right w:val="none" w:sz="0" w:space="0" w:color="auto"/>
          </w:divBdr>
          <w:divsChild>
            <w:div w:id="58885478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053575920">
      <w:bodyDiv w:val="1"/>
      <w:marLeft w:val="0"/>
      <w:marRight w:val="0"/>
      <w:marTop w:val="0"/>
      <w:marBottom w:val="0"/>
      <w:divBdr>
        <w:top w:val="none" w:sz="0" w:space="0" w:color="auto"/>
        <w:left w:val="none" w:sz="0" w:space="0" w:color="auto"/>
        <w:bottom w:val="none" w:sz="0" w:space="0" w:color="auto"/>
        <w:right w:val="none" w:sz="0" w:space="0" w:color="auto"/>
      </w:divBdr>
    </w:div>
    <w:div w:id="1238124866">
      <w:bodyDiv w:val="1"/>
      <w:marLeft w:val="0"/>
      <w:marRight w:val="0"/>
      <w:marTop w:val="0"/>
      <w:marBottom w:val="0"/>
      <w:divBdr>
        <w:top w:val="none" w:sz="0" w:space="0" w:color="auto"/>
        <w:left w:val="none" w:sz="0" w:space="0" w:color="auto"/>
        <w:bottom w:val="none" w:sz="0" w:space="0" w:color="auto"/>
        <w:right w:val="none" w:sz="0" w:space="0" w:color="auto"/>
      </w:divBdr>
    </w:div>
    <w:div w:id="1327631184">
      <w:bodyDiv w:val="1"/>
      <w:marLeft w:val="0"/>
      <w:marRight w:val="0"/>
      <w:marTop w:val="0"/>
      <w:marBottom w:val="0"/>
      <w:divBdr>
        <w:top w:val="none" w:sz="0" w:space="0" w:color="auto"/>
        <w:left w:val="none" w:sz="0" w:space="0" w:color="auto"/>
        <w:bottom w:val="none" w:sz="0" w:space="0" w:color="auto"/>
        <w:right w:val="none" w:sz="0" w:space="0" w:color="auto"/>
      </w:divBdr>
    </w:div>
    <w:div w:id="1509979296">
      <w:bodyDiv w:val="1"/>
      <w:marLeft w:val="0"/>
      <w:marRight w:val="0"/>
      <w:marTop w:val="0"/>
      <w:marBottom w:val="0"/>
      <w:divBdr>
        <w:top w:val="none" w:sz="0" w:space="0" w:color="auto"/>
        <w:left w:val="none" w:sz="0" w:space="0" w:color="auto"/>
        <w:bottom w:val="none" w:sz="0" w:space="0" w:color="auto"/>
        <w:right w:val="none" w:sz="0" w:space="0" w:color="auto"/>
      </w:divBdr>
    </w:div>
    <w:div w:id="1555579844">
      <w:bodyDiv w:val="1"/>
      <w:marLeft w:val="0"/>
      <w:marRight w:val="0"/>
      <w:marTop w:val="0"/>
      <w:marBottom w:val="0"/>
      <w:divBdr>
        <w:top w:val="none" w:sz="0" w:space="0" w:color="auto"/>
        <w:left w:val="none" w:sz="0" w:space="0" w:color="auto"/>
        <w:bottom w:val="none" w:sz="0" w:space="0" w:color="auto"/>
        <w:right w:val="none" w:sz="0" w:space="0" w:color="auto"/>
      </w:divBdr>
    </w:div>
    <w:div w:id="17378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6" ma:contentTypeDescription="Crear nuevo documento." ma:contentTypeScope="" ma:versionID="9324d1cb8f55a4abaf78dc8ec6af290f">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5d1726b4cf7cb837ecc9a826bb4450c2"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57869-18F2-4624-9EE6-4A7620EAA756}">
  <ds:schemaRefs>
    <ds:schemaRef ds:uri="http://schemas.openxmlformats.org/officeDocument/2006/bibliography"/>
  </ds:schemaRefs>
</ds:datastoreItem>
</file>

<file path=customXml/itemProps2.xml><?xml version="1.0" encoding="utf-8"?>
<ds:datastoreItem xmlns:ds="http://schemas.openxmlformats.org/officeDocument/2006/customXml" ds:itemID="{7DCAE4AB-C760-4296-B509-4525BCE09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6B99D-B825-49A7-BFD0-A21A2B5A1F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112C13-BDA7-424A-A077-F298DEE06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5</TotalTime>
  <Pages>8</Pages>
  <Words>3161</Words>
  <Characters>16694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2</cp:revision>
  <cp:lastPrinted>2024-02-06T14:39:00Z</cp:lastPrinted>
  <dcterms:created xsi:type="dcterms:W3CDTF">2024-02-16T17:04:00Z</dcterms:created>
  <dcterms:modified xsi:type="dcterms:W3CDTF">2024-02-16T17:04:00Z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ies>
</file>